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502A" w14:textId="0D940E5C" w:rsidR="00E16FD6" w:rsidRPr="003E0D8A" w:rsidRDefault="00E16FD6" w:rsidP="001B2078">
      <w:pPr>
        <w:jc w:val="center"/>
        <w:rPr>
          <w:rFonts w:ascii="Arial" w:hAnsi="Arial" w:cs="Arial"/>
          <w:sz w:val="28"/>
        </w:rPr>
      </w:pPr>
    </w:p>
    <w:p w14:paraId="09BB200C" w14:textId="77777777" w:rsidR="00E16FD6" w:rsidRPr="003E0D8A" w:rsidRDefault="00E16FD6" w:rsidP="00957195">
      <w:pPr>
        <w:tabs>
          <w:tab w:val="center" w:pos="4680"/>
          <w:tab w:val="left" w:pos="5040"/>
          <w:tab w:val="left" w:pos="5760"/>
          <w:tab w:val="left" w:pos="6480"/>
          <w:tab w:val="left" w:pos="7200"/>
          <w:tab w:val="left" w:pos="7920"/>
          <w:tab w:val="left" w:pos="8640"/>
          <w:tab w:val="left" w:pos="9360"/>
        </w:tabs>
        <w:spacing w:line="360" w:lineRule="auto"/>
        <w:outlineLvl w:val="0"/>
        <w:rPr>
          <w:rFonts w:ascii="Arial" w:hAnsi="Arial" w:cs="Arial"/>
          <w:b/>
          <w:sz w:val="36"/>
          <w:szCs w:val="36"/>
        </w:rPr>
      </w:pPr>
    </w:p>
    <w:p w14:paraId="6AC91618" w14:textId="77777777" w:rsidR="00E16FD6" w:rsidRPr="003E0D8A" w:rsidRDefault="00E16FD6" w:rsidP="00D915D4">
      <w:pPr>
        <w:tabs>
          <w:tab w:val="center" w:pos="468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
          <w:spacing w:val="-20"/>
          <w:sz w:val="72"/>
          <w:szCs w:val="72"/>
        </w:rPr>
      </w:pPr>
      <w:r w:rsidRPr="003E0D8A">
        <w:rPr>
          <w:rFonts w:ascii="Arial" w:hAnsi="Arial" w:cs="Arial"/>
          <w:b/>
          <w:spacing w:val="-20"/>
          <w:sz w:val="72"/>
          <w:szCs w:val="72"/>
        </w:rPr>
        <w:t>CONSOLIDATED ANNUAL PERFORMANCE &amp; EVALUATION REPORT (CAPER)</w:t>
      </w:r>
    </w:p>
    <w:p w14:paraId="3F61773A" w14:textId="77777777" w:rsidR="00E16FD6" w:rsidRPr="003E0D8A" w:rsidRDefault="00E16FD6" w:rsidP="001B2078">
      <w:pPr>
        <w:tabs>
          <w:tab w:val="center" w:pos="468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Cs/>
          <w:sz w:val="40"/>
          <w:szCs w:val="40"/>
        </w:rPr>
      </w:pPr>
      <w:r w:rsidRPr="003E0D8A">
        <w:rPr>
          <w:rFonts w:ascii="Arial" w:hAnsi="Arial" w:cs="Arial"/>
          <w:bCs/>
          <w:sz w:val="40"/>
          <w:szCs w:val="40"/>
        </w:rPr>
        <w:t>Program Year 2022</w:t>
      </w:r>
    </w:p>
    <w:p w14:paraId="1927C41D" w14:textId="23C94520" w:rsidR="00E16FD6" w:rsidRPr="003E0D8A" w:rsidRDefault="00E16FD6" w:rsidP="00D915D4">
      <w:pPr>
        <w:tabs>
          <w:tab w:val="center" w:pos="468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Cs/>
          <w:sz w:val="40"/>
          <w:szCs w:val="40"/>
        </w:rPr>
      </w:pPr>
      <w:r w:rsidRPr="003E0D8A">
        <w:rPr>
          <w:rFonts w:ascii="Arial" w:hAnsi="Arial" w:cs="Arial"/>
          <w:bCs/>
          <w:sz w:val="40"/>
          <w:szCs w:val="40"/>
        </w:rPr>
        <w:t>October 1, 2022, to September 30, 2023</w:t>
      </w:r>
    </w:p>
    <w:p w14:paraId="064BF122" w14:textId="3082EE2C" w:rsidR="00E16FD6" w:rsidRDefault="00E16FD6">
      <w:pPr>
        <w:pStyle w:val="Heading2"/>
        <w:rPr>
          <w:rFonts w:ascii="Calibri" w:hAnsi="Calibri"/>
          <w:i w:val="0"/>
        </w:rPr>
      </w:pPr>
    </w:p>
    <w:p w14:paraId="683E1892" w14:textId="3217A769" w:rsidR="00E16FD6" w:rsidRDefault="00E16FD6" w:rsidP="00E16FD6"/>
    <w:p w14:paraId="3A702A6A" w14:textId="29F7DD69" w:rsidR="00E16FD6" w:rsidRDefault="00E16FD6" w:rsidP="00E16FD6">
      <w:r>
        <w:rPr>
          <w:rFonts w:ascii="Arial" w:hAnsi="Arial" w:cs="Arial"/>
          <w:noProof/>
        </w:rPr>
        <w:drawing>
          <wp:anchor distT="0" distB="0" distL="114300" distR="114300" simplePos="0" relativeHeight="251662336" behindDoc="0" locked="0" layoutInCell="1" allowOverlap="1" wp14:anchorId="6C4E1A5D" wp14:editId="26FC9537">
            <wp:simplePos x="0" y="0"/>
            <wp:positionH relativeFrom="margin">
              <wp:posOffset>-178435</wp:posOffset>
            </wp:positionH>
            <wp:positionV relativeFrom="paragraph">
              <wp:posOffset>123825</wp:posOffset>
            </wp:positionV>
            <wp:extent cx="4489450" cy="1394460"/>
            <wp:effectExtent l="0" t="0" r="6350" b="0"/>
            <wp:wrapNone/>
            <wp:docPr id="5887328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732880" name="Picture 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30840"/>
                    <a:stretch/>
                  </pic:blipFill>
                  <pic:spPr bwMode="auto">
                    <a:xfrm>
                      <a:off x="0" y="0"/>
                      <a:ext cx="4489450"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69246" w14:textId="22C9F690" w:rsidR="00E16FD6" w:rsidRDefault="00E16FD6" w:rsidP="00E16FD6"/>
    <w:p w14:paraId="63E24484" w14:textId="77777777" w:rsidR="00E16FD6" w:rsidRDefault="00E16FD6" w:rsidP="00E16FD6"/>
    <w:p w14:paraId="05F779B1" w14:textId="77777777" w:rsidR="00E16FD6" w:rsidRDefault="00E16FD6" w:rsidP="00E16FD6"/>
    <w:p w14:paraId="784C39E4" w14:textId="10E18EAB" w:rsidR="00E16FD6" w:rsidRDefault="00E16FD6" w:rsidP="00E16FD6"/>
    <w:p w14:paraId="38C066C7" w14:textId="382AF49D" w:rsidR="00E16FD6" w:rsidRDefault="003E0D8A" w:rsidP="00E16FD6">
      <w:r w:rsidRPr="00D41F0F">
        <w:rPr>
          <w:rFonts w:ascii="Arial" w:hAnsi="Arial" w:cs="Arial"/>
          <w:noProof/>
          <w:color w:val="244061" w:themeColor="accent1" w:themeShade="80"/>
          <w:szCs w:val="24"/>
          <w:lang w:val="es-ES"/>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3360" behindDoc="0" locked="0" layoutInCell="1" allowOverlap="1" wp14:anchorId="404D03F5" wp14:editId="5C92B90D">
                <wp:simplePos x="0" y="0"/>
                <wp:positionH relativeFrom="margin">
                  <wp:posOffset>-57151</wp:posOffset>
                </wp:positionH>
                <wp:positionV relativeFrom="paragraph">
                  <wp:posOffset>120650</wp:posOffset>
                </wp:positionV>
                <wp:extent cx="6276975" cy="1133475"/>
                <wp:effectExtent l="0" t="0" r="9525" b="952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33475"/>
                        </a:xfrm>
                        <a:prstGeom prst="rect">
                          <a:avLst/>
                        </a:prstGeom>
                        <a:solidFill>
                          <a:schemeClr val="bg1"/>
                        </a:solidFill>
                        <a:ln w="9525">
                          <a:noFill/>
                          <a:miter lim="800000"/>
                          <a:headEnd/>
                          <a:tailEnd/>
                        </a:ln>
                      </wps:spPr>
                      <wps:txbx>
                        <w:txbxContent>
                          <w:p w14:paraId="3DF49D54" w14:textId="77777777" w:rsidR="00E16FD6" w:rsidRPr="00D41F0F" w:rsidRDefault="00E16FD6" w:rsidP="00886BC8">
                            <w:pPr>
                              <w:rPr>
                                <w:rFonts w:ascii="Arial" w:hAnsi="Arial" w:cs="Arial"/>
                                <w:b/>
                                <w:bCs/>
                                <w:color w:val="141466"/>
                                <w:sz w:val="36"/>
                                <w:szCs w:val="36"/>
                              </w:rPr>
                            </w:pPr>
                            <w:r w:rsidRPr="00D41F0F">
                              <w:rPr>
                                <w:rFonts w:ascii="Arial" w:hAnsi="Arial" w:cs="Arial"/>
                                <w:b/>
                                <w:bCs/>
                                <w:color w:val="141466"/>
                                <w:sz w:val="36"/>
                                <w:szCs w:val="36"/>
                              </w:rPr>
                              <w:t>HOUSING &amp; COMMUNITY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D03F5" id="_x0000_t202" coordsize="21600,21600" o:spt="202" path="m,l,21600r21600,l21600,xe">
                <v:stroke joinstyle="miter"/>
                <v:path gradientshapeok="t" o:connecttype="rect"/>
              </v:shapetype>
              <v:shape id="Text Box 2" o:spid="_x0000_s1026" type="#_x0000_t202" alt="&quot;&quot;" style="position:absolute;margin-left:-4.5pt;margin-top:9.5pt;width:494.25pt;height:8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" fillcolor="white [3212]" stroked="f">
                <v:textbox>
                  <w:txbxContent>
                    <w:p w14:paraId="3DF49D54" w14:textId="77777777" w:rsidR="00E16FD6" w:rsidRPr="00D41F0F" w:rsidRDefault="00E16FD6" w:rsidP="00886BC8">
                      <w:pPr>
                        <w:rPr>
                          <w:rFonts w:ascii="Arial" w:hAnsi="Arial" w:cs="Arial"/>
                          <w:b/>
                          <w:bCs/>
                          <w:color w:val="141466"/>
                          <w:sz w:val="36"/>
                          <w:szCs w:val="36"/>
                        </w:rPr>
                      </w:pPr>
                      <w:r w:rsidRPr="00D41F0F">
                        <w:rPr>
                          <w:rFonts w:ascii="Arial" w:hAnsi="Arial" w:cs="Arial"/>
                          <w:b/>
                          <w:bCs/>
                          <w:color w:val="141466"/>
                          <w:sz w:val="36"/>
                          <w:szCs w:val="36"/>
                        </w:rPr>
                        <w:t>HOUSING &amp; COMMUNITY DEVELOPMENT</w:t>
                      </w:r>
                    </w:p>
                  </w:txbxContent>
                </v:textbox>
                <w10:wrap anchorx="margin"/>
              </v:shape>
            </w:pict>
          </mc:Fallback>
        </mc:AlternateContent>
      </w:r>
    </w:p>
    <w:p w14:paraId="700B626C" w14:textId="290B098E" w:rsidR="00E16FD6" w:rsidRDefault="00E16FD6" w:rsidP="00E16FD6"/>
    <w:p w14:paraId="3D3A734A" w14:textId="77777777" w:rsidR="003E0D8A" w:rsidRPr="00E16FD6" w:rsidRDefault="003E0D8A" w:rsidP="00E16FD6">
      <w:pPr>
        <w:sectPr w:rsidR="003E0D8A" w:rsidRPr="00E16FD6" w:rsidSect="00E16FD6">
          <w:footerReference w:type="default" r:id="rId9"/>
          <w:pgSz w:w="12240" w:h="15840" w:code="1"/>
          <w:pgMar w:top="1440" w:right="1440" w:bottom="1440" w:left="1440" w:header="720" w:footer="720" w:gutter="0"/>
          <w:cols w:space="720"/>
          <w:docGrid w:linePitch="360"/>
        </w:sectPr>
      </w:pPr>
    </w:p>
    <w:p w14:paraId="66671272" w14:textId="77777777" w:rsidR="00555B2B" w:rsidRDefault="0058077A">
      <w:pPr>
        <w:pStyle w:val="Heading2"/>
        <w:rPr>
          <w:rFonts w:ascii="Calibri" w:hAnsi="Calibri"/>
          <w:i w:val="0"/>
        </w:rPr>
      </w:pPr>
      <w:r>
        <w:rPr>
          <w:rFonts w:ascii="Calibri" w:hAnsi="Calibri"/>
          <w:i w:val="0"/>
        </w:rPr>
        <w:t>CR-05 - Goals and Outcomes</w:t>
      </w:r>
    </w:p>
    <w:p w14:paraId="1B3B9833" w14:textId="77777777" w:rsidR="00555B2B" w:rsidRDefault="0058077A">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584AAEDF" w14:textId="77777777" w:rsidR="00555B2B" w:rsidRDefault="0058077A">
      <w:pPr>
        <w:keepNext/>
        <w:widowControl w:val="0"/>
        <w:spacing w:after="0" w:line="240" w:lineRule="auto"/>
      </w:pPr>
      <w:r>
        <w:t>This could be an overview that includes major initiatives and highlights that were proposed and executed throughout the program year.</w:t>
      </w:r>
    </w:p>
    <w:p w14:paraId="442392C1" w14:textId="77777777" w:rsidR="00555B2B" w:rsidRDefault="00555B2B">
      <w:pPr>
        <w:keepNext/>
        <w:widowControl w:val="0"/>
        <w:spacing w:after="0" w:line="240" w:lineRule="auto"/>
        <w:rPr>
          <w:b/>
        </w:rPr>
      </w:pPr>
    </w:p>
    <w:p w14:paraId="23C1C59D" w14:textId="3CFB47E6" w:rsidR="00555B2B" w:rsidRDefault="0058077A" w:rsidP="00E16FD6">
      <w:pPr>
        <w:widowControl w:val="0"/>
        <w:spacing w:before="100" w:beforeAutospacing="1" w:after="100" w:afterAutospacing="1"/>
      </w:pPr>
      <w:r>
        <w:t>Over the past program year, the City of Waco pursued the goals and objectives outlined in the PY 202</w:t>
      </w:r>
      <w:r w:rsidR="1B3FB95F">
        <w:t>2</w:t>
      </w:r>
      <w:r>
        <w:t xml:space="preserve"> Annual Action Plan and the PY 2019-2023 Consolidated Plan. This year the City of Waco invested HOME Investment Partnerships Program (HOME) and Community Development Block Grant (CDBG) funds to provide: </w:t>
      </w:r>
    </w:p>
    <w:p w14:paraId="5BC6E728" w14:textId="77777777" w:rsidR="00555B2B" w:rsidRDefault="0058077A">
      <w:pPr>
        <w:widowControl w:val="0"/>
        <w:numPr>
          <w:ilvl w:val="0"/>
          <w:numId w:val="4"/>
        </w:numPr>
        <w:spacing w:beforeAutospacing="1" w:afterAutospacing="1"/>
        <w:rPr>
          <w:szCs w:val="24"/>
        </w:rPr>
      </w:pPr>
      <w:r>
        <w:t>Decent Housing</w:t>
      </w:r>
    </w:p>
    <w:p w14:paraId="789EE28A" w14:textId="77777777" w:rsidR="00555B2B" w:rsidRDefault="0058077A">
      <w:pPr>
        <w:widowControl w:val="0"/>
        <w:numPr>
          <w:ilvl w:val="0"/>
          <w:numId w:val="4"/>
        </w:numPr>
        <w:spacing w:beforeAutospacing="1" w:afterAutospacing="1"/>
        <w:rPr>
          <w:szCs w:val="24"/>
        </w:rPr>
      </w:pPr>
      <w:r>
        <w:t>Suitable Living Environment</w:t>
      </w:r>
    </w:p>
    <w:p w14:paraId="12062822" w14:textId="77777777" w:rsidR="00555B2B" w:rsidRDefault="0058077A">
      <w:pPr>
        <w:widowControl w:val="0"/>
        <w:numPr>
          <w:ilvl w:val="0"/>
          <w:numId w:val="4"/>
        </w:numPr>
        <w:spacing w:beforeAutospacing="1" w:afterAutospacing="1"/>
        <w:rPr>
          <w:szCs w:val="24"/>
        </w:rPr>
      </w:pPr>
      <w:r>
        <w:t>Homeless Activities</w:t>
      </w:r>
    </w:p>
    <w:p w14:paraId="113E588E" w14:textId="77777777" w:rsidR="00555B2B" w:rsidRDefault="0058077A">
      <w:pPr>
        <w:widowControl w:val="0"/>
        <w:spacing w:beforeAutospacing="1" w:afterAutospacing="1"/>
        <w:rPr>
          <w:szCs w:val="24"/>
        </w:rPr>
      </w:pPr>
      <w:r>
        <w:t>Key accomplishments include:</w:t>
      </w:r>
    </w:p>
    <w:p w14:paraId="1FD7EC8C" w14:textId="61607CC8" w:rsidR="00555B2B" w:rsidRDefault="1DEFB071" w:rsidP="3D87D998">
      <w:pPr>
        <w:widowControl w:val="0"/>
        <w:numPr>
          <w:ilvl w:val="0"/>
          <w:numId w:val="4"/>
        </w:numPr>
        <w:spacing w:beforeAutospacing="1" w:afterAutospacing="1"/>
      </w:pPr>
      <w:r w:rsidRPr="3D87D998">
        <w:rPr>
          <w:b/>
          <w:bCs/>
        </w:rPr>
        <w:t>Homebuyer Activities</w:t>
      </w:r>
      <w:r>
        <w:t>- Assisted</w:t>
      </w:r>
      <w:r w:rsidR="41A5A1CB">
        <w:t xml:space="preserve"> </w:t>
      </w:r>
      <w:r w:rsidR="7BA2D92D">
        <w:t xml:space="preserve">three </w:t>
      </w:r>
      <w:r>
        <w:t>first-time homeowners with down payment and closing assistance. A total of approximately $</w:t>
      </w:r>
      <w:r w:rsidR="164DAF79">
        <w:t>75,000</w:t>
      </w:r>
      <w:r>
        <w:t>.00 was allocated to first-time homeowners.</w:t>
      </w:r>
    </w:p>
    <w:p w14:paraId="399A69BD" w14:textId="0FE09CE7" w:rsidR="00555B2B" w:rsidRDefault="1DCB6BCC" w:rsidP="004C204C">
      <w:pPr>
        <w:widowControl w:val="0"/>
        <w:numPr>
          <w:ilvl w:val="0"/>
          <w:numId w:val="4"/>
        </w:numPr>
        <w:spacing w:before="100" w:beforeAutospacing="1" w:after="100" w:afterAutospacing="1"/>
      </w:pPr>
      <w:r w:rsidRPr="0A784A6B">
        <w:rPr>
          <w:b/>
          <w:bCs/>
        </w:rPr>
        <w:t>Rehabilitation</w:t>
      </w:r>
      <w:r w:rsidR="4B9361B6">
        <w:t xml:space="preserve"> </w:t>
      </w:r>
      <w:r>
        <w:t>- Assisted 1</w:t>
      </w:r>
      <w:r w:rsidR="01976D3E">
        <w:t>6</w:t>
      </w:r>
      <w:r>
        <w:t xml:space="preserve"> families with rehabilitation in the amount of $</w:t>
      </w:r>
      <w:r w:rsidR="009942B9">
        <w:t>517,288.97</w:t>
      </w:r>
      <w:r>
        <w:t xml:space="preserve"> to preserve Waco’s existing housing stock.</w:t>
      </w:r>
    </w:p>
    <w:p w14:paraId="73D737F2" w14:textId="79F7F5FF" w:rsidR="00555B2B" w:rsidRDefault="0058077A" w:rsidP="0AF71021">
      <w:pPr>
        <w:widowControl w:val="0"/>
        <w:numPr>
          <w:ilvl w:val="0"/>
          <w:numId w:val="4"/>
        </w:numPr>
        <w:spacing w:beforeAutospacing="1" w:afterAutospacing="1"/>
      </w:pPr>
      <w:r w:rsidRPr="0AF71021">
        <w:rPr>
          <w:b/>
          <w:bCs/>
        </w:rPr>
        <w:t>Public Services</w:t>
      </w:r>
      <w:r>
        <w:t xml:space="preserve">- Talitha Koum – Provided a therapeutic mental health center for </w:t>
      </w:r>
      <w:r w:rsidR="04723153">
        <w:t>six</w:t>
      </w:r>
      <w:r>
        <w:t xml:space="preserve"> young children. Mission Waco My Brother’s Keeper – Provided case management and shelter services to </w:t>
      </w:r>
      <w:r w:rsidR="1CA2E8BD">
        <w:t>29</w:t>
      </w:r>
      <w:r w:rsidR="6A094C6F">
        <w:t>3</w:t>
      </w:r>
      <w:r w:rsidR="1CA2E8BD">
        <w:t xml:space="preserve"> </w:t>
      </w:r>
      <w:r>
        <w:t>homeless persons.</w:t>
      </w:r>
      <w:r w:rsidR="4312C764">
        <w:t xml:space="preserve"> </w:t>
      </w:r>
      <w:r>
        <w:t xml:space="preserve">Inspiracion Parent-Child Education – Provided parent and early childhood education to </w:t>
      </w:r>
      <w:r w:rsidR="4EB1DC7D">
        <w:t>179</w:t>
      </w:r>
      <w:r>
        <w:t xml:space="preserve"> low-income families. Family Abuse Center – Provided services to 6</w:t>
      </w:r>
      <w:r w:rsidR="558CB249">
        <w:t>66</w:t>
      </w:r>
      <w:r>
        <w:t xml:space="preserve"> victims of domestic violence. </w:t>
      </w:r>
    </w:p>
    <w:p w14:paraId="228A3946" w14:textId="33933941" w:rsidR="00555B2B" w:rsidRDefault="0058077A" w:rsidP="0AF71021">
      <w:pPr>
        <w:widowControl w:val="0"/>
        <w:numPr>
          <w:ilvl w:val="0"/>
          <w:numId w:val="4"/>
        </w:numPr>
        <w:spacing w:beforeAutospacing="1" w:afterAutospacing="1"/>
      </w:pPr>
      <w:r w:rsidRPr="0AF71021">
        <w:rPr>
          <w:b/>
          <w:bCs/>
        </w:rPr>
        <w:t>Housing</w:t>
      </w:r>
      <w:r>
        <w:t xml:space="preserve">– Grassroots Roof Repair Program – Completed </w:t>
      </w:r>
      <w:r w:rsidR="3FE2DB92">
        <w:t>23</w:t>
      </w:r>
      <w:r>
        <w:t xml:space="preserve"> roofs for low- to moderate-income individuals. </w:t>
      </w:r>
    </w:p>
    <w:p w14:paraId="2BC3FDBC" w14:textId="18A8BF46" w:rsidR="00555B2B" w:rsidRDefault="0058077A" w:rsidP="0AF71021">
      <w:pPr>
        <w:widowControl w:val="0"/>
        <w:numPr>
          <w:ilvl w:val="0"/>
          <w:numId w:val="4"/>
        </w:numPr>
        <w:spacing w:beforeAutospacing="1" w:afterAutospacing="1"/>
      </w:pPr>
      <w:r w:rsidRPr="0AF71021">
        <w:rPr>
          <w:b/>
          <w:bCs/>
        </w:rPr>
        <w:t>Tenant-Based Rental Assistance (TBRA)</w:t>
      </w:r>
      <w:r>
        <w:t>- Provided rental assistance to 3</w:t>
      </w:r>
      <w:r w:rsidR="005CD6BD">
        <w:t>8 f</w:t>
      </w:r>
      <w:r>
        <w:t>amilies/individuals.</w:t>
      </w:r>
    </w:p>
    <w:p w14:paraId="5EEFE142" w14:textId="77777777" w:rsidR="00555B2B" w:rsidRDefault="0058077A">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33A1999D" w14:textId="77777777" w:rsidR="00555B2B" w:rsidRDefault="0058077A">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14:paraId="598EE072" w14:textId="77777777" w:rsidR="00555B2B" w:rsidRDefault="00555B2B">
      <w:pPr>
        <w:widowControl w:val="0"/>
        <w:rPr>
          <w:b/>
          <w:sz w:val="24"/>
          <w:szCs w:val="24"/>
        </w:rPr>
      </w:pPr>
    </w:p>
    <w:tbl>
      <w:tblPr>
        <w:tblStyle w:val="TableGrid"/>
        <w:tblW w:w="14940" w:type="dxa"/>
        <w:tblInd w:w="-1085" w:type="dxa"/>
        <w:tblLayout w:type="fixed"/>
        <w:tblLook w:val="04A0" w:firstRow="1" w:lastRow="0" w:firstColumn="1" w:lastColumn="0" w:noHBand="0" w:noVBand="1"/>
      </w:tblPr>
      <w:tblGrid>
        <w:gridCol w:w="1440"/>
        <w:gridCol w:w="1549"/>
        <w:gridCol w:w="1241"/>
        <w:gridCol w:w="1800"/>
        <w:gridCol w:w="1075"/>
        <w:gridCol w:w="975"/>
        <w:gridCol w:w="948"/>
        <w:gridCol w:w="1020"/>
        <w:gridCol w:w="975"/>
        <w:gridCol w:w="1847"/>
        <w:gridCol w:w="2070"/>
      </w:tblGrid>
      <w:tr w:rsidR="00555B2B" w14:paraId="1BC8ED6A" w14:textId="77777777" w:rsidTr="00066316">
        <w:trPr>
          <w:trHeight w:val="70"/>
        </w:trPr>
        <w:tc>
          <w:tcPr>
            <w:tcW w:w="1440" w:type="dxa"/>
          </w:tcPr>
          <w:p w14:paraId="59454908" w14:textId="77777777" w:rsidR="00555B2B" w:rsidRDefault="0058077A">
            <w:pPr>
              <w:keepNext/>
              <w:widowControl w:val="0"/>
              <w:spacing w:after="0" w:line="240" w:lineRule="auto"/>
              <w:rPr>
                <w:b/>
              </w:rPr>
            </w:pPr>
            <w:r>
              <w:rPr>
                <w:b/>
              </w:rPr>
              <w:t>Goal</w:t>
            </w:r>
          </w:p>
        </w:tc>
        <w:tc>
          <w:tcPr>
            <w:tcW w:w="1549" w:type="dxa"/>
          </w:tcPr>
          <w:p w14:paraId="520FAD05" w14:textId="77777777" w:rsidR="00555B2B" w:rsidRDefault="0058077A">
            <w:pPr>
              <w:keepNext/>
              <w:widowControl w:val="0"/>
              <w:spacing w:after="0" w:line="240" w:lineRule="auto"/>
              <w:rPr>
                <w:b/>
              </w:rPr>
            </w:pPr>
            <w:r>
              <w:rPr>
                <w:b/>
              </w:rPr>
              <w:t>Category</w:t>
            </w:r>
          </w:p>
        </w:tc>
        <w:tc>
          <w:tcPr>
            <w:tcW w:w="1241" w:type="dxa"/>
          </w:tcPr>
          <w:p w14:paraId="3E6D6EFC" w14:textId="77777777" w:rsidR="00555B2B" w:rsidRDefault="0058077A">
            <w:pPr>
              <w:keepNext/>
              <w:widowControl w:val="0"/>
              <w:spacing w:after="0" w:line="240" w:lineRule="auto"/>
              <w:rPr>
                <w:b/>
              </w:rPr>
            </w:pPr>
            <w:r>
              <w:rPr>
                <w:b/>
              </w:rPr>
              <w:t>Source / Amount</w:t>
            </w:r>
          </w:p>
        </w:tc>
        <w:tc>
          <w:tcPr>
            <w:tcW w:w="1800" w:type="dxa"/>
          </w:tcPr>
          <w:p w14:paraId="07478F0B" w14:textId="77777777" w:rsidR="00555B2B" w:rsidRDefault="0058077A">
            <w:pPr>
              <w:keepNext/>
              <w:widowControl w:val="0"/>
              <w:spacing w:after="0" w:line="240" w:lineRule="auto"/>
              <w:rPr>
                <w:b/>
              </w:rPr>
            </w:pPr>
            <w:r>
              <w:rPr>
                <w:b/>
              </w:rPr>
              <w:t>Indicator</w:t>
            </w:r>
          </w:p>
        </w:tc>
        <w:tc>
          <w:tcPr>
            <w:tcW w:w="1075" w:type="dxa"/>
          </w:tcPr>
          <w:p w14:paraId="5F475623" w14:textId="77777777" w:rsidR="00555B2B" w:rsidRDefault="0058077A">
            <w:pPr>
              <w:keepNext/>
              <w:widowControl w:val="0"/>
              <w:spacing w:after="0" w:line="240" w:lineRule="auto"/>
              <w:rPr>
                <w:b/>
              </w:rPr>
            </w:pPr>
            <w:r>
              <w:rPr>
                <w:b/>
              </w:rPr>
              <w:t>Unit of Measure</w:t>
            </w:r>
          </w:p>
        </w:tc>
        <w:tc>
          <w:tcPr>
            <w:tcW w:w="975" w:type="dxa"/>
          </w:tcPr>
          <w:p w14:paraId="4EC05EF2" w14:textId="77777777" w:rsidR="00555B2B" w:rsidRDefault="0058077A">
            <w:pPr>
              <w:keepNext/>
              <w:widowControl w:val="0"/>
              <w:spacing w:after="0" w:line="240" w:lineRule="auto"/>
              <w:rPr>
                <w:b/>
              </w:rPr>
            </w:pPr>
            <w:r>
              <w:rPr>
                <w:b/>
              </w:rPr>
              <w:t>Expected – Strategic Plan</w:t>
            </w:r>
          </w:p>
        </w:tc>
        <w:tc>
          <w:tcPr>
            <w:tcW w:w="948" w:type="dxa"/>
          </w:tcPr>
          <w:p w14:paraId="450748C6" w14:textId="77777777" w:rsidR="00555B2B" w:rsidRDefault="0058077A">
            <w:pPr>
              <w:keepNext/>
              <w:widowControl w:val="0"/>
              <w:spacing w:after="0" w:line="240" w:lineRule="auto"/>
              <w:rPr>
                <w:b/>
              </w:rPr>
            </w:pPr>
            <w:r>
              <w:rPr>
                <w:b/>
              </w:rPr>
              <w:t>Actual – Strategic Plan</w:t>
            </w:r>
          </w:p>
        </w:tc>
        <w:tc>
          <w:tcPr>
            <w:tcW w:w="1020" w:type="dxa"/>
          </w:tcPr>
          <w:p w14:paraId="437FAC1F" w14:textId="77777777" w:rsidR="00555B2B" w:rsidRDefault="0058077A">
            <w:pPr>
              <w:keepNext/>
              <w:widowControl w:val="0"/>
              <w:spacing w:after="0" w:line="240" w:lineRule="auto"/>
              <w:rPr>
                <w:b/>
              </w:rPr>
            </w:pPr>
            <w:r>
              <w:rPr>
                <w:b/>
              </w:rPr>
              <w:t>Percent Complete</w:t>
            </w:r>
          </w:p>
        </w:tc>
        <w:tc>
          <w:tcPr>
            <w:tcW w:w="975" w:type="dxa"/>
          </w:tcPr>
          <w:p w14:paraId="13FAF316" w14:textId="77777777" w:rsidR="00555B2B" w:rsidRDefault="0058077A">
            <w:pPr>
              <w:keepNext/>
              <w:widowControl w:val="0"/>
              <w:spacing w:after="0" w:line="240" w:lineRule="auto"/>
              <w:rPr>
                <w:b/>
              </w:rPr>
            </w:pPr>
            <w:r>
              <w:rPr>
                <w:b/>
              </w:rPr>
              <w:t>Expected – Program Year</w:t>
            </w:r>
          </w:p>
        </w:tc>
        <w:tc>
          <w:tcPr>
            <w:tcW w:w="1847" w:type="dxa"/>
          </w:tcPr>
          <w:p w14:paraId="1D4C53F5" w14:textId="77777777" w:rsidR="00555B2B" w:rsidRDefault="0058077A">
            <w:pPr>
              <w:keepNext/>
              <w:widowControl w:val="0"/>
              <w:spacing w:after="0" w:line="240" w:lineRule="auto"/>
              <w:rPr>
                <w:b/>
              </w:rPr>
            </w:pPr>
            <w:r>
              <w:rPr>
                <w:b/>
              </w:rPr>
              <w:t>Actual – Program Year</w:t>
            </w:r>
          </w:p>
        </w:tc>
        <w:tc>
          <w:tcPr>
            <w:tcW w:w="2070" w:type="dxa"/>
          </w:tcPr>
          <w:p w14:paraId="143DA3FD" w14:textId="77777777" w:rsidR="00555B2B" w:rsidRDefault="0058077A">
            <w:pPr>
              <w:keepNext/>
              <w:widowControl w:val="0"/>
              <w:spacing w:after="0" w:line="240" w:lineRule="auto"/>
              <w:rPr>
                <w:b/>
              </w:rPr>
            </w:pPr>
            <w:r>
              <w:rPr>
                <w:b/>
              </w:rPr>
              <w:t>Percent Complete</w:t>
            </w:r>
          </w:p>
        </w:tc>
      </w:tr>
      <w:tr w:rsidR="00555B2B" w14:paraId="5AEA54B2" w14:textId="77777777" w:rsidTr="00066316">
        <w:trPr>
          <w:cantSplit/>
        </w:trPr>
        <w:tc>
          <w:tcPr>
            <w:tcW w:w="1440" w:type="dxa"/>
            <w:vAlign w:val="center"/>
          </w:tcPr>
          <w:p w14:paraId="0648C072" w14:textId="77777777" w:rsidR="00555B2B" w:rsidRDefault="0058077A">
            <w:pPr>
              <w:spacing w:beforeAutospacing="1" w:afterAutospacing="1"/>
            </w:pPr>
            <w:r>
              <w:rPr>
                <w:color w:val="000000"/>
                <w:sz w:val="22"/>
              </w:rPr>
              <w:t>Administration and Planning</w:t>
            </w:r>
          </w:p>
        </w:tc>
        <w:tc>
          <w:tcPr>
            <w:tcW w:w="1549" w:type="dxa"/>
            <w:vAlign w:val="center"/>
          </w:tcPr>
          <w:p w14:paraId="300B8D16" w14:textId="77777777" w:rsidR="00555B2B" w:rsidRDefault="0058077A">
            <w:pPr>
              <w:spacing w:beforeAutospacing="1" w:afterAutospacing="1"/>
            </w:pPr>
            <w:r>
              <w:rPr>
                <w:color w:val="000000"/>
                <w:sz w:val="22"/>
              </w:rPr>
              <w:t>Administration and Planning</w:t>
            </w:r>
          </w:p>
        </w:tc>
        <w:tc>
          <w:tcPr>
            <w:tcW w:w="1241" w:type="dxa"/>
            <w:vAlign w:val="center"/>
          </w:tcPr>
          <w:p w14:paraId="46305D42" w14:textId="77777777" w:rsidR="00555B2B" w:rsidRDefault="0058077A" w:rsidP="00066316">
            <w:pPr>
              <w:spacing w:before="100" w:beforeAutospacing="1" w:after="100" w:afterAutospacing="1"/>
            </w:pPr>
            <w:r>
              <w:rPr>
                <w:color w:val="000000"/>
                <w:sz w:val="22"/>
              </w:rPr>
              <w:t>CDBG: $ / HOME: $</w:t>
            </w:r>
          </w:p>
        </w:tc>
        <w:tc>
          <w:tcPr>
            <w:tcW w:w="1800" w:type="dxa"/>
            <w:vAlign w:val="center"/>
          </w:tcPr>
          <w:p w14:paraId="487685C4" w14:textId="77777777" w:rsidR="00555B2B" w:rsidRDefault="0058077A">
            <w:pPr>
              <w:spacing w:beforeAutospacing="1" w:afterAutospacing="1"/>
            </w:pPr>
            <w:r>
              <w:rPr>
                <w:color w:val="000000"/>
                <w:sz w:val="22"/>
              </w:rPr>
              <w:t>Other</w:t>
            </w:r>
          </w:p>
        </w:tc>
        <w:tc>
          <w:tcPr>
            <w:tcW w:w="1075" w:type="dxa"/>
            <w:vAlign w:val="center"/>
          </w:tcPr>
          <w:p w14:paraId="05F69369" w14:textId="77777777" w:rsidR="00555B2B" w:rsidRDefault="0058077A">
            <w:pPr>
              <w:spacing w:beforeAutospacing="1" w:afterAutospacing="1"/>
            </w:pPr>
            <w:r>
              <w:rPr>
                <w:color w:val="000000"/>
                <w:sz w:val="22"/>
              </w:rPr>
              <w:t>Other</w:t>
            </w:r>
          </w:p>
        </w:tc>
        <w:tc>
          <w:tcPr>
            <w:tcW w:w="975" w:type="dxa"/>
            <w:vAlign w:val="center"/>
          </w:tcPr>
          <w:p w14:paraId="5F81E980" w14:textId="77777777" w:rsidR="00555B2B" w:rsidRDefault="0058077A">
            <w:pPr>
              <w:spacing w:beforeAutospacing="1" w:afterAutospacing="1"/>
            </w:pPr>
            <w:r>
              <w:rPr>
                <w:color w:val="000000"/>
                <w:sz w:val="22"/>
              </w:rPr>
              <w:t>0</w:t>
            </w:r>
          </w:p>
        </w:tc>
        <w:tc>
          <w:tcPr>
            <w:tcW w:w="948" w:type="dxa"/>
            <w:vAlign w:val="center"/>
          </w:tcPr>
          <w:p w14:paraId="15E7C2D9" w14:textId="77777777" w:rsidR="00555B2B" w:rsidRDefault="0058077A">
            <w:pPr>
              <w:spacing w:beforeAutospacing="1" w:afterAutospacing="1"/>
            </w:pPr>
            <w:r>
              <w:rPr>
                <w:color w:val="000000"/>
                <w:sz w:val="22"/>
              </w:rPr>
              <w:t>0</w:t>
            </w:r>
          </w:p>
        </w:tc>
        <w:tc>
          <w:tcPr>
            <w:tcW w:w="1020" w:type="dxa"/>
            <w:vAlign w:val="center"/>
          </w:tcPr>
          <w:p w14:paraId="772AAF28" w14:textId="77777777" w:rsidR="00555B2B" w:rsidRDefault="0058077A">
            <w:pPr>
              <w:spacing w:beforeAutospacing="1" w:afterAutospacing="1"/>
            </w:pPr>
            <w:r>
              <w:rPr>
                <w:color w:val="000000"/>
                <w:sz w:val="22"/>
              </w:rPr>
              <w:t xml:space="preserve"> </w:t>
            </w:r>
          </w:p>
        </w:tc>
        <w:tc>
          <w:tcPr>
            <w:tcW w:w="975" w:type="dxa"/>
            <w:vAlign w:val="center"/>
          </w:tcPr>
          <w:p w14:paraId="3B8E97CE" w14:textId="77777777" w:rsidR="00555B2B" w:rsidRDefault="0058077A">
            <w:pPr>
              <w:spacing w:beforeAutospacing="1" w:afterAutospacing="1"/>
            </w:pPr>
            <w:r>
              <w:rPr>
                <w:color w:val="000000"/>
                <w:sz w:val="22"/>
              </w:rPr>
              <w:t xml:space="preserve"> </w:t>
            </w:r>
          </w:p>
        </w:tc>
        <w:tc>
          <w:tcPr>
            <w:tcW w:w="1847" w:type="dxa"/>
            <w:vAlign w:val="center"/>
          </w:tcPr>
          <w:p w14:paraId="6862807E" w14:textId="77777777" w:rsidR="00555B2B" w:rsidRDefault="0058077A">
            <w:pPr>
              <w:spacing w:beforeAutospacing="1" w:afterAutospacing="1"/>
            </w:pPr>
            <w:r>
              <w:rPr>
                <w:color w:val="000000"/>
                <w:sz w:val="22"/>
              </w:rPr>
              <w:t xml:space="preserve"> </w:t>
            </w:r>
          </w:p>
        </w:tc>
        <w:tc>
          <w:tcPr>
            <w:tcW w:w="2070" w:type="dxa"/>
            <w:vAlign w:val="center"/>
          </w:tcPr>
          <w:p w14:paraId="25E846A1" w14:textId="77777777" w:rsidR="00555B2B" w:rsidRDefault="0058077A">
            <w:pPr>
              <w:spacing w:beforeAutospacing="1" w:afterAutospacing="1"/>
            </w:pPr>
            <w:r>
              <w:rPr>
                <w:color w:val="000000"/>
                <w:sz w:val="22"/>
              </w:rPr>
              <w:t xml:space="preserve"> </w:t>
            </w:r>
          </w:p>
        </w:tc>
      </w:tr>
      <w:tr w:rsidR="00555B2B" w14:paraId="07C4803F" w14:textId="77777777" w:rsidTr="00066316">
        <w:trPr>
          <w:cantSplit/>
        </w:trPr>
        <w:tc>
          <w:tcPr>
            <w:tcW w:w="1440" w:type="dxa"/>
            <w:vAlign w:val="center"/>
          </w:tcPr>
          <w:p w14:paraId="6AC01212" w14:textId="77777777" w:rsidR="00555B2B" w:rsidRDefault="0058077A">
            <w:pPr>
              <w:spacing w:beforeAutospacing="1" w:afterAutospacing="1"/>
            </w:pPr>
            <w:r>
              <w:rPr>
                <w:color w:val="000000"/>
                <w:sz w:val="22"/>
              </w:rPr>
              <w:t>Adult and Youth Education &amp; Job Training</w:t>
            </w:r>
          </w:p>
        </w:tc>
        <w:tc>
          <w:tcPr>
            <w:tcW w:w="1549" w:type="dxa"/>
            <w:vAlign w:val="center"/>
          </w:tcPr>
          <w:p w14:paraId="65821B79" w14:textId="77777777" w:rsidR="00555B2B" w:rsidRDefault="0058077A">
            <w:pPr>
              <w:spacing w:beforeAutospacing="1" w:afterAutospacing="1"/>
            </w:pPr>
            <w:r>
              <w:rPr>
                <w:color w:val="000000"/>
                <w:sz w:val="22"/>
              </w:rPr>
              <w:t>Non-Housing Community Development</w:t>
            </w:r>
          </w:p>
        </w:tc>
        <w:tc>
          <w:tcPr>
            <w:tcW w:w="1241" w:type="dxa"/>
            <w:vAlign w:val="center"/>
          </w:tcPr>
          <w:p w14:paraId="4B64D01E" w14:textId="77777777" w:rsidR="00555B2B" w:rsidRDefault="0058077A">
            <w:pPr>
              <w:spacing w:beforeAutospacing="1" w:afterAutospacing="1"/>
            </w:pPr>
            <w:r>
              <w:rPr>
                <w:color w:val="000000"/>
                <w:sz w:val="22"/>
              </w:rPr>
              <w:t>CDBG: $</w:t>
            </w:r>
          </w:p>
        </w:tc>
        <w:tc>
          <w:tcPr>
            <w:tcW w:w="1800" w:type="dxa"/>
            <w:vAlign w:val="center"/>
          </w:tcPr>
          <w:p w14:paraId="7590DC99"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516BC148" w14:textId="77777777" w:rsidR="00555B2B" w:rsidRDefault="0058077A">
            <w:pPr>
              <w:spacing w:beforeAutospacing="1" w:afterAutospacing="1"/>
            </w:pPr>
            <w:r>
              <w:rPr>
                <w:color w:val="000000"/>
                <w:sz w:val="22"/>
              </w:rPr>
              <w:t>Persons Assisted</w:t>
            </w:r>
          </w:p>
        </w:tc>
        <w:tc>
          <w:tcPr>
            <w:tcW w:w="975" w:type="dxa"/>
            <w:vAlign w:val="center"/>
          </w:tcPr>
          <w:p w14:paraId="2DE2CFFB" w14:textId="77777777" w:rsidR="00555B2B" w:rsidRDefault="0058077A">
            <w:pPr>
              <w:spacing w:beforeAutospacing="1" w:afterAutospacing="1"/>
            </w:pPr>
            <w:r>
              <w:rPr>
                <w:color w:val="000000"/>
                <w:sz w:val="22"/>
              </w:rPr>
              <w:t>100</w:t>
            </w:r>
          </w:p>
        </w:tc>
        <w:tc>
          <w:tcPr>
            <w:tcW w:w="948" w:type="dxa"/>
            <w:vAlign w:val="center"/>
          </w:tcPr>
          <w:p w14:paraId="7151AE71" w14:textId="77777777" w:rsidR="00555B2B" w:rsidRDefault="0058077A">
            <w:pPr>
              <w:spacing w:beforeAutospacing="1" w:afterAutospacing="1"/>
            </w:pPr>
            <w:r>
              <w:rPr>
                <w:color w:val="000000"/>
                <w:sz w:val="22"/>
              </w:rPr>
              <w:t>20</w:t>
            </w:r>
          </w:p>
        </w:tc>
        <w:tc>
          <w:tcPr>
            <w:tcW w:w="1020" w:type="dxa"/>
            <w:vAlign w:val="center"/>
          </w:tcPr>
          <w:p w14:paraId="659E1238" w14:textId="77777777" w:rsidR="00555B2B" w:rsidRDefault="0058077A">
            <w:pPr>
              <w:spacing w:beforeAutospacing="1" w:afterAutospacing="1"/>
            </w:pPr>
            <w:r>
              <w:rPr>
                <w:color w:val="000000"/>
                <w:sz w:val="22"/>
              </w:rPr>
              <w:t xml:space="preserve">        20.00%</w:t>
            </w:r>
          </w:p>
        </w:tc>
        <w:tc>
          <w:tcPr>
            <w:tcW w:w="975" w:type="dxa"/>
            <w:vAlign w:val="center"/>
          </w:tcPr>
          <w:p w14:paraId="7C2DE135" w14:textId="77777777" w:rsidR="00555B2B" w:rsidRDefault="0058077A">
            <w:pPr>
              <w:spacing w:beforeAutospacing="1" w:afterAutospacing="1"/>
            </w:pPr>
            <w:r>
              <w:rPr>
                <w:color w:val="000000"/>
                <w:sz w:val="22"/>
              </w:rPr>
              <w:t xml:space="preserve"> </w:t>
            </w:r>
          </w:p>
        </w:tc>
        <w:tc>
          <w:tcPr>
            <w:tcW w:w="1847" w:type="dxa"/>
            <w:vAlign w:val="center"/>
          </w:tcPr>
          <w:p w14:paraId="0725998E" w14:textId="5F309BB9" w:rsidR="00555B2B" w:rsidRDefault="1DEFB071" w:rsidP="3D87D998">
            <w:pPr>
              <w:spacing w:beforeAutospacing="1" w:afterAutospacing="1"/>
            </w:pPr>
            <w:r w:rsidRPr="3D87D998">
              <w:rPr>
                <w:color w:val="000000" w:themeColor="text1"/>
                <w:sz w:val="22"/>
                <w:szCs w:val="22"/>
              </w:rPr>
              <w:t xml:space="preserve"> </w:t>
            </w:r>
            <w:r w:rsidR="308D2A7E" w:rsidRPr="3D87D998">
              <w:rPr>
                <w:color w:val="000000" w:themeColor="text1"/>
                <w:sz w:val="22"/>
                <w:szCs w:val="22"/>
              </w:rPr>
              <w:t>0</w:t>
            </w:r>
          </w:p>
        </w:tc>
        <w:tc>
          <w:tcPr>
            <w:tcW w:w="2070" w:type="dxa"/>
            <w:vAlign w:val="center"/>
          </w:tcPr>
          <w:p w14:paraId="48809442" w14:textId="77777777" w:rsidR="00555B2B" w:rsidRDefault="0058077A">
            <w:pPr>
              <w:spacing w:beforeAutospacing="1" w:afterAutospacing="1"/>
            </w:pPr>
            <w:r>
              <w:rPr>
                <w:color w:val="000000"/>
                <w:sz w:val="22"/>
              </w:rPr>
              <w:t xml:space="preserve"> </w:t>
            </w:r>
          </w:p>
        </w:tc>
      </w:tr>
      <w:tr w:rsidR="00555B2B" w14:paraId="3C0490B8" w14:textId="77777777" w:rsidTr="00066316">
        <w:trPr>
          <w:cantSplit/>
        </w:trPr>
        <w:tc>
          <w:tcPr>
            <w:tcW w:w="1440" w:type="dxa"/>
            <w:vAlign w:val="center"/>
          </w:tcPr>
          <w:p w14:paraId="1878A351" w14:textId="77777777" w:rsidR="00555B2B" w:rsidRDefault="0058077A">
            <w:pPr>
              <w:spacing w:beforeAutospacing="1" w:afterAutospacing="1"/>
            </w:pPr>
            <w:r>
              <w:rPr>
                <w:color w:val="000000"/>
                <w:sz w:val="22"/>
              </w:rPr>
              <w:t>CARES-CV Housing Assistance Program</w:t>
            </w:r>
          </w:p>
        </w:tc>
        <w:tc>
          <w:tcPr>
            <w:tcW w:w="1549" w:type="dxa"/>
            <w:vAlign w:val="center"/>
          </w:tcPr>
          <w:p w14:paraId="671E1744" w14:textId="77777777" w:rsidR="00555B2B" w:rsidRDefault="0058077A">
            <w:pPr>
              <w:spacing w:beforeAutospacing="1" w:afterAutospacing="1"/>
            </w:pPr>
            <w:r>
              <w:rPr>
                <w:color w:val="000000"/>
                <w:sz w:val="22"/>
              </w:rPr>
              <w:t>Affordable Housing</w:t>
            </w:r>
          </w:p>
        </w:tc>
        <w:tc>
          <w:tcPr>
            <w:tcW w:w="1241" w:type="dxa"/>
            <w:vAlign w:val="center"/>
          </w:tcPr>
          <w:p w14:paraId="086F786E" w14:textId="77777777" w:rsidR="00555B2B" w:rsidRDefault="0058077A">
            <w:pPr>
              <w:spacing w:beforeAutospacing="1" w:afterAutospacing="1"/>
            </w:pPr>
            <w:r>
              <w:rPr>
                <w:color w:val="000000"/>
                <w:sz w:val="22"/>
              </w:rPr>
              <w:t>CDBG: $</w:t>
            </w:r>
          </w:p>
        </w:tc>
        <w:tc>
          <w:tcPr>
            <w:tcW w:w="1800" w:type="dxa"/>
            <w:vAlign w:val="center"/>
          </w:tcPr>
          <w:p w14:paraId="376BB694" w14:textId="77777777" w:rsidR="00555B2B" w:rsidRDefault="0058077A">
            <w:pPr>
              <w:spacing w:beforeAutospacing="1" w:afterAutospacing="1"/>
            </w:pPr>
            <w:r>
              <w:rPr>
                <w:color w:val="000000"/>
                <w:sz w:val="22"/>
              </w:rPr>
              <w:t>Public service activities for Low/Moderate Income Housing Benefit</w:t>
            </w:r>
          </w:p>
        </w:tc>
        <w:tc>
          <w:tcPr>
            <w:tcW w:w="1075" w:type="dxa"/>
            <w:vAlign w:val="center"/>
          </w:tcPr>
          <w:p w14:paraId="3A482275" w14:textId="77777777" w:rsidR="00555B2B" w:rsidRDefault="0058077A">
            <w:pPr>
              <w:spacing w:beforeAutospacing="1" w:afterAutospacing="1"/>
            </w:pPr>
            <w:r>
              <w:rPr>
                <w:color w:val="000000"/>
                <w:sz w:val="22"/>
              </w:rPr>
              <w:t>Households Assisted</w:t>
            </w:r>
          </w:p>
        </w:tc>
        <w:tc>
          <w:tcPr>
            <w:tcW w:w="975" w:type="dxa"/>
            <w:vAlign w:val="center"/>
          </w:tcPr>
          <w:p w14:paraId="7C5EC269" w14:textId="77777777" w:rsidR="00555B2B" w:rsidRDefault="0058077A">
            <w:pPr>
              <w:spacing w:beforeAutospacing="1" w:afterAutospacing="1"/>
            </w:pPr>
            <w:r>
              <w:rPr>
                <w:color w:val="000000"/>
                <w:sz w:val="22"/>
              </w:rPr>
              <w:t>150</w:t>
            </w:r>
          </w:p>
        </w:tc>
        <w:tc>
          <w:tcPr>
            <w:tcW w:w="948" w:type="dxa"/>
            <w:vAlign w:val="center"/>
          </w:tcPr>
          <w:p w14:paraId="5A55232A" w14:textId="77777777" w:rsidR="00555B2B" w:rsidRDefault="0058077A">
            <w:pPr>
              <w:spacing w:beforeAutospacing="1" w:afterAutospacing="1"/>
            </w:pPr>
            <w:r>
              <w:rPr>
                <w:color w:val="000000"/>
                <w:sz w:val="22"/>
              </w:rPr>
              <w:t>97</w:t>
            </w:r>
          </w:p>
        </w:tc>
        <w:tc>
          <w:tcPr>
            <w:tcW w:w="1020" w:type="dxa"/>
            <w:vAlign w:val="center"/>
          </w:tcPr>
          <w:p w14:paraId="0F32E731" w14:textId="77777777" w:rsidR="00555B2B" w:rsidRDefault="0058077A">
            <w:pPr>
              <w:spacing w:beforeAutospacing="1" w:afterAutospacing="1"/>
            </w:pPr>
            <w:r>
              <w:rPr>
                <w:color w:val="000000"/>
                <w:sz w:val="22"/>
              </w:rPr>
              <w:t xml:space="preserve">        64.67%</w:t>
            </w:r>
          </w:p>
        </w:tc>
        <w:tc>
          <w:tcPr>
            <w:tcW w:w="975" w:type="dxa"/>
            <w:vAlign w:val="center"/>
          </w:tcPr>
          <w:p w14:paraId="2EDBE99D" w14:textId="77777777" w:rsidR="00555B2B" w:rsidRDefault="0058077A">
            <w:pPr>
              <w:spacing w:beforeAutospacing="1" w:afterAutospacing="1"/>
            </w:pPr>
            <w:r>
              <w:rPr>
                <w:color w:val="000000"/>
                <w:sz w:val="22"/>
              </w:rPr>
              <w:t xml:space="preserve"> </w:t>
            </w:r>
          </w:p>
        </w:tc>
        <w:tc>
          <w:tcPr>
            <w:tcW w:w="1847" w:type="dxa"/>
            <w:vAlign w:val="center"/>
          </w:tcPr>
          <w:p w14:paraId="459E0952" w14:textId="1548E428" w:rsidR="00555B2B" w:rsidRDefault="1DEFB071" w:rsidP="3D87D998">
            <w:pPr>
              <w:spacing w:beforeAutospacing="1" w:afterAutospacing="1"/>
            </w:pPr>
            <w:r w:rsidRPr="3D87D998">
              <w:rPr>
                <w:color w:val="000000" w:themeColor="text1"/>
                <w:sz w:val="22"/>
                <w:szCs w:val="22"/>
              </w:rPr>
              <w:t xml:space="preserve"> </w:t>
            </w:r>
            <w:r w:rsidR="17A53EC8" w:rsidRPr="3D87D998">
              <w:rPr>
                <w:color w:val="000000" w:themeColor="text1"/>
                <w:sz w:val="22"/>
                <w:szCs w:val="22"/>
              </w:rPr>
              <w:t>0</w:t>
            </w:r>
          </w:p>
        </w:tc>
        <w:tc>
          <w:tcPr>
            <w:tcW w:w="2070" w:type="dxa"/>
            <w:vAlign w:val="center"/>
          </w:tcPr>
          <w:p w14:paraId="5AD86E19" w14:textId="77777777" w:rsidR="00555B2B" w:rsidRDefault="0058077A">
            <w:pPr>
              <w:spacing w:beforeAutospacing="1" w:afterAutospacing="1"/>
            </w:pPr>
            <w:r>
              <w:rPr>
                <w:color w:val="000000"/>
                <w:sz w:val="22"/>
              </w:rPr>
              <w:t xml:space="preserve"> </w:t>
            </w:r>
          </w:p>
        </w:tc>
      </w:tr>
      <w:tr w:rsidR="00555B2B" w14:paraId="6AA5C861" w14:textId="77777777" w:rsidTr="00066316">
        <w:trPr>
          <w:cantSplit/>
        </w:trPr>
        <w:tc>
          <w:tcPr>
            <w:tcW w:w="1440" w:type="dxa"/>
            <w:vAlign w:val="center"/>
          </w:tcPr>
          <w:p w14:paraId="1630C24E" w14:textId="77777777" w:rsidR="00555B2B" w:rsidRDefault="0058077A">
            <w:pPr>
              <w:spacing w:beforeAutospacing="1" w:afterAutospacing="1"/>
            </w:pPr>
            <w:r>
              <w:rPr>
                <w:color w:val="000000"/>
                <w:sz w:val="22"/>
              </w:rPr>
              <w:t>CARES-CV Shelter for Homeless</w:t>
            </w:r>
          </w:p>
        </w:tc>
        <w:tc>
          <w:tcPr>
            <w:tcW w:w="1549" w:type="dxa"/>
            <w:vAlign w:val="center"/>
          </w:tcPr>
          <w:p w14:paraId="679AED8B" w14:textId="77777777" w:rsidR="00555B2B" w:rsidRDefault="0058077A">
            <w:pPr>
              <w:spacing w:beforeAutospacing="1" w:afterAutospacing="1"/>
            </w:pPr>
            <w:r>
              <w:rPr>
                <w:color w:val="000000"/>
                <w:sz w:val="22"/>
              </w:rPr>
              <w:t>Homeless</w:t>
            </w:r>
          </w:p>
        </w:tc>
        <w:tc>
          <w:tcPr>
            <w:tcW w:w="1241" w:type="dxa"/>
            <w:vAlign w:val="center"/>
          </w:tcPr>
          <w:p w14:paraId="3D97EB14" w14:textId="77777777" w:rsidR="00555B2B" w:rsidRDefault="0058077A">
            <w:pPr>
              <w:spacing w:beforeAutospacing="1" w:afterAutospacing="1"/>
            </w:pPr>
            <w:r>
              <w:rPr>
                <w:color w:val="000000"/>
                <w:sz w:val="22"/>
              </w:rPr>
              <w:t>CARES ACT CDBG-CV: $</w:t>
            </w:r>
          </w:p>
        </w:tc>
        <w:tc>
          <w:tcPr>
            <w:tcW w:w="1800" w:type="dxa"/>
            <w:vAlign w:val="center"/>
          </w:tcPr>
          <w:p w14:paraId="0822223B" w14:textId="77777777" w:rsidR="00555B2B" w:rsidRDefault="0058077A">
            <w:pPr>
              <w:spacing w:beforeAutospacing="1" w:afterAutospacing="1"/>
            </w:pPr>
            <w:r>
              <w:rPr>
                <w:color w:val="000000"/>
                <w:sz w:val="22"/>
              </w:rPr>
              <w:t>Public service activities for Low/Moderate Income Housing Benefit</w:t>
            </w:r>
          </w:p>
        </w:tc>
        <w:tc>
          <w:tcPr>
            <w:tcW w:w="1075" w:type="dxa"/>
            <w:vAlign w:val="center"/>
          </w:tcPr>
          <w:p w14:paraId="2087DB3F" w14:textId="77777777" w:rsidR="00555B2B" w:rsidRDefault="0058077A">
            <w:pPr>
              <w:spacing w:beforeAutospacing="1" w:afterAutospacing="1"/>
            </w:pPr>
            <w:r>
              <w:rPr>
                <w:color w:val="000000"/>
                <w:sz w:val="22"/>
              </w:rPr>
              <w:t>Households Assisted</w:t>
            </w:r>
          </w:p>
        </w:tc>
        <w:tc>
          <w:tcPr>
            <w:tcW w:w="975" w:type="dxa"/>
            <w:vAlign w:val="center"/>
          </w:tcPr>
          <w:p w14:paraId="16F2C101" w14:textId="77777777" w:rsidR="00555B2B" w:rsidRDefault="0058077A">
            <w:pPr>
              <w:spacing w:beforeAutospacing="1" w:afterAutospacing="1"/>
            </w:pPr>
            <w:r>
              <w:rPr>
                <w:color w:val="000000"/>
                <w:sz w:val="22"/>
              </w:rPr>
              <w:t>12</w:t>
            </w:r>
          </w:p>
        </w:tc>
        <w:tc>
          <w:tcPr>
            <w:tcW w:w="948" w:type="dxa"/>
            <w:vAlign w:val="center"/>
          </w:tcPr>
          <w:p w14:paraId="79E2F0EB" w14:textId="77777777" w:rsidR="00555B2B" w:rsidRDefault="0058077A">
            <w:pPr>
              <w:spacing w:beforeAutospacing="1" w:afterAutospacing="1"/>
            </w:pPr>
            <w:r>
              <w:rPr>
                <w:color w:val="000000"/>
                <w:sz w:val="22"/>
              </w:rPr>
              <w:t>34</w:t>
            </w:r>
          </w:p>
        </w:tc>
        <w:tc>
          <w:tcPr>
            <w:tcW w:w="1020" w:type="dxa"/>
            <w:vAlign w:val="center"/>
          </w:tcPr>
          <w:p w14:paraId="124151FF" w14:textId="77777777" w:rsidR="00555B2B" w:rsidRDefault="0058077A">
            <w:pPr>
              <w:spacing w:beforeAutospacing="1" w:afterAutospacing="1"/>
            </w:pPr>
            <w:r>
              <w:rPr>
                <w:color w:val="000000"/>
                <w:sz w:val="22"/>
              </w:rPr>
              <w:t xml:space="preserve">       283.33%</w:t>
            </w:r>
          </w:p>
        </w:tc>
        <w:tc>
          <w:tcPr>
            <w:tcW w:w="975" w:type="dxa"/>
            <w:vAlign w:val="center"/>
          </w:tcPr>
          <w:p w14:paraId="6EF36964" w14:textId="77777777" w:rsidR="00555B2B" w:rsidRDefault="0058077A">
            <w:pPr>
              <w:spacing w:beforeAutospacing="1" w:afterAutospacing="1"/>
            </w:pPr>
            <w:r>
              <w:rPr>
                <w:color w:val="000000"/>
                <w:sz w:val="22"/>
              </w:rPr>
              <w:t xml:space="preserve"> </w:t>
            </w:r>
          </w:p>
        </w:tc>
        <w:tc>
          <w:tcPr>
            <w:tcW w:w="1847" w:type="dxa"/>
            <w:vAlign w:val="center"/>
          </w:tcPr>
          <w:p w14:paraId="0B1F25A8" w14:textId="30F88B7C" w:rsidR="00555B2B" w:rsidRDefault="1DEFB071" w:rsidP="3D87D998">
            <w:pPr>
              <w:spacing w:beforeAutospacing="1" w:afterAutospacing="1"/>
            </w:pPr>
            <w:r w:rsidRPr="3D87D998">
              <w:rPr>
                <w:color w:val="000000" w:themeColor="text1"/>
                <w:sz w:val="22"/>
                <w:szCs w:val="22"/>
              </w:rPr>
              <w:t xml:space="preserve"> </w:t>
            </w:r>
            <w:r w:rsidR="735CB474" w:rsidRPr="3D87D998">
              <w:rPr>
                <w:color w:val="000000" w:themeColor="text1"/>
                <w:sz w:val="22"/>
                <w:szCs w:val="22"/>
              </w:rPr>
              <w:t>0</w:t>
            </w:r>
          </w:p>
        </w:tc>
        <w:tc>
          <w:tcPr>
            <w:tcW w:w="2070" w:type="dxa"/>
            <w:vAlign w:val="center"/>
          </w:tcPr>
          <w:p w14:paraId="44F4491D" w14:textId="77777777" w:rsidR="00555B2B" w:rsidRDefault="0058077A">
            <w:pPr>
              <w:spacing w:beforeAutospacing="1" w:afterAutospacing="1"/>
            </w:pPr>
            <w:r>
              <w:rPr>
                <w:color w:val="000000"/>
                <w:sz w:val="22"/>
              </w:rPr>
              <w:t xml:space="preserve"> </w:t>
            </w:r>
          </w:p>
        </w:tc>
      </w:tr>
      <w:tr w:rsidR="00555B2B" w14:paraId="4DF34DBE" w14:textId="77777777" w:rsidTr="00066316">
        <w:trPr>
          <w:cantSplit/>
        </w:trPr>
        <w:tc>
          <w:tcPr>
            <w:tcW w:w="1440" w:type="dxa"/>
            <w:vAlign w:val="center"/>
          </w:tcPr>
          <w:p w14:paraId="75053230" w14:textId="77777777" w:rsidR="00555B2B" w:rsidRDefault="0058077A" w:rsidP="00066316">
            <w:pPr>
              <w:spacing w:before="100" w:beforeAutospacing="1" w:after="100" w:afterAutospacing="1"/>
            </w:pPr>
            <w:r>
              <w:rPr>
                <w:color w:val="000000"/>
                <w:sz w:val="22"/>
              </w:rPr>
              <w:t>CARES-CV Shelter for Homeless</w:t>
            </w:r>
          </w:p>
        </w:tc>
        <w:tc>
          <w:tcPr>
            <w:tcW w:w="1549" w:type="dxa"/>
            <w:vAlign w:val="center"/>
          </w:tcPr>
          <w:p w14:paraId="63634C6D" w14:textId="77777777" w:rsidR="00555B2B" w:rsidRDefault="0058077A">
            <w:pPr>
              <w:spacing w:beforeAutospacing="1" w:afterAutospacing="1"/>
            </w:pPr>
            <w:r>
              <w:rPr>
                <w:color w:val="000000"/>
                <w:sz w:val="22"/>
              </w:rPr>
              <w:t>Homeless</w:t>
            </w:r>
          </w:p>
        </w:tc>
        <w:tc>
          <w:tcPr>
            <w:tcW w:w="1241" w:type="dxa"/>
            <w:vAlign w:val="center"/>
          </w:tcPr>
          <w:p w14:paraId="7377EE80" w14:textId="77777777" w:rsidR="00555B2B" w:rsidRDefault="0058077A">
            <w:pPr>
              <w:spacing w:beforeAutospacing="1" w:afterAutospacing="1"/>
            </w:pPr>
            <w:r>
              <w:rPr>
                <w:color w:val="000000"/>
                <w:sz w:val="22"/>
              </w:rPr>
              <w:t>CARES ACT CDBG-CV: $</w:t>
            </w:r>
          </w:p>
        </w:tc>
        <w:tc>
          <w:tcPr>
            <w:tcW w:w="1800" w:type="dxa"/>
            <w:vAlign w:val="center"/>
          </w:tcPr>
          <w:p w14:paraId="5B059CD5" w14:textId="77777777" w:rsidR="00555B2B" w:rsidRDefault="0058077A">
            <w:pPr>
              <w:spacing w:beforeAutospacing="1" w:afterAutospacing="1"/>
            </w:pPr>
            <w:r>
              <w:rPr>
                <w:color w:val="000000"/>
                <w:sz w:val="22"/>
              </w:rPr>
              <w:t>Homelessness Prevention</w:t>
            </w:r>
          </w:p>
        </w:tc>
        <w:tc>
          <w:tcPr>
            <w:tcW w:w="1075" w:type="dxa"/>
            <w:vAlign w:val="center"/>
          </w:tcPr>
          <w:p w14:paraId="015E8CCC" w14:textId="77777777" w:rsidR="00555B2B" w:rsidRDefault="0058077A">
            <w:pPr>
              <w:spacing w:beforeAutospacing="1" w:afterAutospacing="1"/>
            </w:pPr>
            <w:r>
              <w:rPr>
                <w:color w:val="000000"/>
                <w:sz w:val="22"/>
              </w:rPr>
              <w:t>Persons Assisted</w:t>
            </w:r>
          </w:p>
        </w:tc>
        <w:tc>
          <w:tcPr>
            <w:tcW w:w="975" w:type="dxa"/>
            <w:vAlign w:val="center"/>
          </w:tcPr>
          <w:p w14:paraId="234C136D" w14:textId="77777777" w:rsidR="00555B2B" w:rsidRDefault="0058077A">
            <w:pPr>
              <w:spacing w:beforeAutospacing="1" w:afterAutospacing="1"/>
            </w:pPr>
            <w:r>
              <w:rPr>
                <w:color w:val="000000"/>
                <w:sz w:val="22"/>
              </w:rPr>
              <w:t>0</w:t>
            </w:r>
          </w:p>
        </w:tc>
        <w:tc>
          <w:tcPr>
            <w:tcW w:w="948" w:type="dxa"/>
            <w:vAlign w:val="center"/>
          </w:tcPr>
          <w:p w14:paraId="3892019C" w14:textId="77777777" w:rsidR="00555B2B" w:rsidRDefault="0058077A">
            <w:pPr>
              <w:spacing w:beforeAutospacing="1" w:afterAutospacing="1"/>
            </w:pPr>
            <w:r>
              <w:rPr>
                <w:color w:val="000000"/>
                <w:sz w:val="22"/>
              </w:rPr>
              <w:t>0</w:t>
            </w:r>
          </w:p>
        </w:tc>
        <w:tc>
          <w:tcPr>
            <w:tcW w:w="1020" w:type="dxa"/>
            <w:vAlign w:val="center"/>
          </w:tcPr>
          <w:p w14:paraId="545487D0" w14:textId="77777777" w:rsidR="00555B2B" w:rsidRDefault="0058077A">
            <w:pPr>
              <w:spacing w:beforeAutospacing="1" w:afterAutospacing="1"/>
            </w:pPr>
            <w:r>
              <w:rPr>
                <w:color w:val="000000"/>
                <w:sz w:val="22"/>
              </w:rPr>
              <w:t xml:space="preserve"> </w:t>
            </w:r>
          </w:p>
        </w:tc>
        <w:tc>
          <w:tcPr>
            <w:tcW w:w="975" w:type="dxa"/>
            <w:vAlign w:val="center"/>
          </w:tcPr>
          <w:p w14:paraId="49EB1951" w14:textId="77777777" w:rsidR="00555B2B" w:rsidRDefault="0058077A">
            <w:pPr>
              <w:spacing w:beforeAutospacing="1" w:afterAutospacing="1"/>
            </w:pPr>
            <w:r>
              <w:rPr>
                <w:color w:val="000000"/>
                <w:sz w:val="22"/>
              </w:rPr>
              <w:t xml:space="preserve"> </w:t>
            </w:r>
          </w:p>
        </w:tc>
        <w:tc>
          <w:tcPr>
            <w:tcW w:w="1847" w:type="dxa"/>
            <w:vAlign w:val="center"/>
          </w:tcPr>
          <w:p w14:paraId="5B3721B3" w14:textId="69F2F300" w:rsidR="00555B2B" w:rsidRDefault="1DEFB071" w:rsidP="3D87D998">
            <w:pPr>
              <w:spacing w:beforeAutospacing="1" w:afterAutospacing="1"/>
            </w:pPr>
            <w:r w:rsidRPr="3D87D998">
              <w:rPr>
                <w:color w:val="000000" w:themeColor="text1"/>
                <w:sz w:val="22"/>
                <w:szCs w:val="22"/>
              </w:rPr>
              <w:t xml:space="preserve"> </w:t>
            </w:r>
            <w:r w:rsidR="22AECB54" w:rsidRPr="3D87D998">
              <w:rPr>
                <w:color w:val="000000" w:themeColor="text1"/>
                <w:sz w:val="22"/>
                <w:szCs w:val="22"/>
              </w:rPr>
              <w:t>0</w:t>
            </w:r>
          </w:p>
        </w:tc>
        <w:tc>
          <w:tcPr>
            <w:tcW w:w="2070" w:type="dxa"/>
            <w:vAlign w:val="center"/>
          </w:tcPr>
          <w:p w14:paraId="6D14B1BB" w14:textId="77777777" w:rsidR="00555B2B" w:rsidRDefault="0058077A">
            <w:pPr>
              <w:spacing w:beforeAutospacing="1" w:afterAutospacing="1"/>
            </w:pPr>
            <w:r>
              <w:rPr>
                <w:color w:val="000000"/>
                <w:sz w:val="22"/>
              </w:rPr>
              <w:t xml:space="preserve"> </w:t>
            </w:r>
          </w:p>
        </w:tc>
      </w:tr>
      <w:tr w:rsidR="00555B2B" w14:paraId="7D231E13" w14:textId="77777777" w:rsidTr="00066316">
        <w:trPr>
          <w:cantSplit/>
        </w:trPr>
        <w:tc>
          <w:tcPr>
            <w:tcW w:w="1440" w:type="dxa"/>
            <w:vAlign w:val="center"/>
          </w:tcPr>
          <w:p w14:paraId="09FA40C7" w14:textId="77777777" w:rsidR="00555B2B" w:rsidRDefault="0058077A">
            <w:pPr>
              <w:spacing w:beforeAutospacing="1" w:afterAutospacing="1"/>
            </w:pPr>
            <w:r>
              <w:rPr>
                <w:color w:val="000000"/>
                <w:sz w:val="22"/>
              </w:rPr>
              <w:t>CARES-CV Small Business Grant Program</w:t>
            </w:r>
          </w:p>
        </w:tc>
        <w:tc>
          <w:tcPr>
            <w:tcW w:w="1549" w:type="dxa"/>
            <w:vAlign w:val="center"/>
          </w:tcPr>
          <w:p w14:paraId="6093C218" w14:textId="77777777" w:rsidR="00555B2B" w:rsidRDefault="0058077A">
            <w:pPr>
              <w:spacing w:beforeAutospacing="1" w:afterAutospacing="1"/>
            </w:pPr>
            <w:r>
              <w:rPr>
                <w:color w:val="000000"/>
                <w:sz w:val="22"/>
              </w:rPr>
              <w:t>Non-Housing Community Development</w:t>
            </w:r>
          </w:p>
        </w:tc>
        <w:tc>
          <w:tcPr>
            <w:tcW w:w="1241" w:type="dxa"/>
            <w:vAlign w:val="center"/>
          </w:tcPr>
          <w:p w14:paraId="1F8A0E94" w14:textId="77777777" w:rsidR="00555B2B" w:rsidRDefault="0058077A">
            <w:pPr>
              <w:spacing w:beforeAutospacing="1" w:afterAutospacing="1"/>
            </w:pPr>
            <w:r>
              <w:rPr>
                <w:color w:val="000000"/>
                <w:sz w:val="22"/>
              </w:rPr>
              <w:t>CARES ACT CDBG-CV: $</w:t>
            </w:r>
          </w:p>
        </w:tc>
        <w:tc>
          <w:tcPr>
            <w:tcW w:w="1800" w:type="dxa"/>
            <w:vAlign w:val="center"/>
          </w:tcPr>
          <w:p w14:paraId="0E5E00E9" w14:textId="77777777" w:rsidR="00555B2B" w:rsidRDefault="0058077A">
            <w:pPr>
              <w:spacing w:beforeAutospacing="1" w:afterAutospacing="1"/>
            </w:pPr>
            <w:r>
              <w:rPr>
                <w:color w:val="000000"/>
                <w:sz w:val="22"/>
              </w:rPr>
              <w:t>Businesses assisted</w:t>
            </w:r>
          </w:p>
        </w:tc>
        <w:tc>
          <w:tcPr>
            <w:tcW w:w="1075" w:type="dxa"/>
            <w:vAlign w:val="center"/>
          </w:tcPr>
          <w:p w14:paraId="4755A683" w14:textId="77777777" w:rsidR="00555B2B" w:rsidRDefault="0058077A">
            <w:pPr>
              <w:spacing w:beforeAutospacing="1" w:afterAutospacing="1"/>
            </w:pPr>
            <w:r>
              <w:rPr>
                <w:color w:val="000000"/>
                <w:sz w:val="22"/>
              </w:rPr>
              <w:t>Businesses Assisted</w:t>
            </w:r>
          </w:p>
        </w:tc>
        <w:tc>
          <w:tcPr>
            <w:tcW w:w="975" w:type="dxa"/>
            <w:vAlign w:val="center"/>
          </w:tcPr>
          <w:p w14:paraId="3BE1CE73" w14:textId="77777777" w:rsidR="00555B2B" w:rsidRDefault="0058077A">
            <w:pPr>
              <w:spacing w:beforeAutospacing="1" w:afterAutospacing="1"/>
            </w:pPr>
            <w:r>
              <w:rPr>
                <w:color w:val="000000"/>
                <w:sz w:val="22"/>
              </w:rPr>
              <w:t>41</w:t>
            </w:r>
          </w:p>
        </w:tc>
        <w:tc>
          <w:tcPr>
            <w:tcW w:w="948" w:type="dxa"/>
            <w:vAlign w:val="center"/>
          </w:tcPr>
          <w:p w14:paraId="60B9E9F7" w14:textId="77777777" w:rsidR="00555B2B" w:rsidRDefault="0058077A">
            <w:pPr>
              <w:spacing w:beforeAutospacing="1" w:afterAutospacing="1"/>
            </w:pPr>
            <w:r>
              <w:rPr>
                <w:color w:val="000000"/>
                <w:sz w:val="22"/>
              </w:rPr>
              <w:t>73</w:t>
            </w:r>
          </w:p>
        </w:tc>
        <w:tc>
          <w:tcPr>
            <w:tcW w:w="1020" w:type="dxa"/>
            <w:vAlign w:val="center"/>
          </w:tcPr>
          <w:p w14:paraId="5751A0EA" w14:textId="77777777" w:rsidR="00555B2B" w:rsidRDefault="0058077A">
            <w:pPr>
              <w:spacing w:beforeAutospacing="1" w:afterAutospacing="1"/>
            </w:pPr>
            <w:r>
              <w:rPr>
                <w:color w:val="000000"/>
                <w:sz w:val="22"/>
              </w:rPr>
              <w:t xml:space="preserve">       178.05%</w:t>
            </w:r>
          </w:p>
        </w:tc>
        <w:tc>
          <w:tcPr>
            <w:tcW w:w="975" w:type="dxa"/>
            <w:vAlign w:val="center"/>
          </w:tcPr>
          <w:p w14:paraId="71971855" w14:textId="77777777" w:rsidR="00555B2B" w:rsidRDefault="0058077A">
            <w:pPr>
              <w:spacing w:beforeAutospacing="1" w:afterAutospacing="1"/>
            </w:pPr>
            <w:r>
              <w:rPr>
                <w:color w:val="000000"/>
                <w:sz w:val="22"/>
              </w:rPr>
              <w:t xml:space="preserve"> </w:t>
            </w:r>
          </w:p>
        </w:tc>
        <w:tc>
          <w:tcPr>
            <w:tcW w:w="1847" w:type="dxa"/>
            <w:vAlign w:val="center"/>
          </w:tcPr>
          <w:p w14:paraId="4C8D613A" w14:textId="1D6CEE3A" w:rsidR="00555B2B" w:rsidRDefault="1DEFB071" w:rsidP="3D87D998">
            <w:pPr>
              <w:spacing w:beforeAutospacing="1" w:afterAutospacing="1"/>
            </w:pPr>
            <w:r w:rsidRPr="3D87D998">
              <w:rPr>
                <w:color w:val="000000" w:themeColor="text1"/>
                <w:sz w:val="22"/>
                <w:szCs w:val="22"/>
              </w:rPr>
              <w:t xml:space="preserve"> </w:t>
            </w:r>
            <w:r w:rsidR="38A3BD74" w:rsidRPr="3D87D998">
              <w:rPr>
                <w:color w:val="000000" w:themeColor="text1"/>
                <w:sz w:val="22"/>
                <w:szCs w:val="22"/>
              </w:rPr>
              <w:t>1</w:t>
            </w:r>
          </w:p>
        </w:tc>
        <w:tc>
          <w:tcPr>
            <w:tcW w:w="2070" w:type="dxa"/>
            <w:vAlign w:val="center"/>
          </w:tcPr>
          <w:p w14:paraId="66D7BAB8" w14:textId="77777777" w:rsidR="00555B2B" w:rsidRDefault="0058077A">
            <w:pPr>
              <w:spacing w:beforeAutospacing="1" w:afterAutospacing="1"/>
            </w:pPr>
            <w:r>
              <w:rPr>
                <w:color w:val="000000"/>
                <w:sz w:val="22"/>
              </w:rPr>
              <w:t xml:space="preserve"> </w:t>
            </w:r>
          </w:p>
        </w:tc>
      </w:tr>
      <w:tr w:rsidR="00555B2B" w14:paraId="196FB81C" w14:textId="77777777" w:rsidTr="00066316">
        <w:trPr>
          <w:cantSplit/>
        </w:trPr>
        <w:tc>
          <w:tcPr>
            <w:tcW w:w="1440" w:type="dxa"/>
            <w:vAlign w:val="center"/>
          </w:tcPr>
          <w:p w14:paraId="4745BB0F" w14:textId="77777777" w:rsidR="00555B2B" w:rsidRDefault="0058077A">
            <w:pPr>
              <w:spacing w:beforeAutospacing="1" w:afterAutospacing="1"/>
            </w:pPr>
            <w:r>
              <w:rPr>
                <w:color w:val="000000"/>
                <w:sz w:val="22"/>
              </w:rPr>
              <w:t>CHDO Activities</w:t>
            </w:r>
          </w:p>
        </w:tc>
        <w:tc>
          <w:tcPr>
            <w:tcW w:w="1549" w:type="dxa"/>
            <w:vAlign w:val="center"/>
          </w:tcPr>
          <w:p w14:paraId="5926078A" w14:textId="77777777" w:rsidR="00555B2B" w:rsidRDefault="0058077A">
            <w:pPr>
              <w:spacing w:beforeAutospacing="1" w:afterAutospacing="1"/>
            </w:pPr>
            <w:r>
              <w:rPr>
                <w:color w:val="000000"/>
                <w:sz w:val="22"/>
              </w:rPr>
              <w:t>Affordable Housing</w:t>
            </w:r>
          </w:p>
        </w:tc>
        <w:tc>
          <w:tcPr>
            <w:tcW w:w="1241" w:type="dxa"/>
            <w:vAlign w:val="center"/>
          </w:tcPr>
          <w:p w14:paraId="22FC11DA" w14:textId="77777777" w:rsidR="00555B2B" w:rsidRDefault="0058077A">
            <w:pPr>
              <w:spacing w:beforeAutospacing="1" w:afterAutospacing="1"/>
            </w:pPr>
            <w:r>
              <w:rPr>
                <w:color w:val="000000"/>
                <w:sz w:val="22"/>
              </w:rPr>
              <w:t>CDBG: $ / HOME: $</w:t>
            </w:r>
          </w:p>
        </w:tc>
        <w:tc>
          <w:tcPr>
            <w:tcW w:w="1800" w:type="dxa"/>
            <w:vAlign w:val="center"/>
          </w:tcPr>
          <w:p w14:paraId="3B458E12" w14:textId="77777777" w:rsidR="00555B2B" w:rsidRDefault="0058077A">
            <w:pPr>
              <w:spacing w:beforeAutospacing="1" w:afterAutospacing="1"/>
            </w:pPr>
            <w:r>
              <w:rPr>
                <w:color w:val="000000"/>
                <w:sz w:val="22"/>
              </w:rPr>
              <w:t>Homeowner Housing Added</w:t>
            </w:r>
          </w:p>
        </w:tc>
        <w:tc>
          <w:tcPr>
            <w:tcW w:w="1075" w:type="dxa"/>
            <w:vAlign w:val="center"/>
          </w:tcPr>
          <w:p w14:paraId="76681304" w14:textId="77777777" w:rsidR="00555B2B" w:rsidRDefault="0058077A">
            <w:pPr>
              <w:spacing w:beforeAutospacing="1" w:afterAutospacing="1"/>
            </w:pPr>
            <w:r>
              <w:rPr>
                <w:color w:val="000000"/>
                <w:sz w:val="22"/>
              </w:rPr>
              <w:t>Household Housing Unit</w:t>
            </w:r>
          </w:p>
        </w:tc>
        <w:tc>
          <w:tcPr>
            <w:tcW w:w="975" w:type="dxa"/>
            <w:vAlign w:val="center"/>
          </w:tcPr>
          <w:p w14:paraId="11AE6F6D" w14:textId="77777777" w:rsidR="00555B2B" w:rsidRDefault="0058077A">
            <w:pPr>
              <w:spacing w:beforeAutospacing="1" w:afterAutospacing="1"/>
            </w:pPr>
            <w:r>
              <w:rPr>
                <w:color w:val="000000"/>
                <w:sz w:val="22"/>
              </w:rPr>
              <w:t>4</w:t>
            </w:r>
          </w:p>
        </w:tc>
        <w:tc>
          <w:tcPr>
            <w:tcW w:w="948" w:type="dxa"/>
            <w:vAlign w:val="center"/>
          </w:tcPr>
          <w:p w14:paraId="6BF55C85" w14:textId="77777777" w:rsidR="00555B2B" w:rsidRDefault="0058077A">
            <w:pPr>
              <w:spacing w:beforeAutospacing="1" w:afterAutospacing="1"/>
            </w:pPr>
            <w:r>
              <w:rPr>
                <w:color w:val="000000"/>
                <w:sz w:val="22"/>
              </w:rPr>
              <w:t>3</w:t>
            </w:r>
          </w:p>
        </w:tc>
        <w:tc>
          <w:tcPr>
            <w:tcW w:w="1020" w:type="dxa"/>
            <w:vAlign w:val="center"/>
          </w:tcPr>
          <w:p w14:paraId="3EEB55CC" w14:textId="77777777" w:rsidR="00555B2B" w:rsidRDefault="0058077A">
            <w:pPr>
              <w:spacing w:beforeAutospacing="1" w:afterAutospacing="1"/>
            </w:pPr>
            <w:r>
              <w:rPr>
                <w:color w:val="000000"/>
                <w:sz w:val="22"/>
              </w:rPr>
              <w:t xml:space="preserve">        75.00%</w:t>
            </w:r>
          </w:p>
        </w:tc>
        <w:tc>
          <w:tcPr>
            <w:tcW w:w="975" w:type="dxa"/>
            <w:vAlign w:val="center"/>
          </w:tcPr>
          <w:p w14:paraId="65475A22" w14:textId="77777777" w:rsidR="00555B2B" w:rsidRDefault="0058077A">
            <w:pPr>
              <w:spacing w:beforeAutospacing="1" w:afterAutospacing="1"/>
            </w:pPr>
            <w:r>
              <w:rPr>
                <w:color w:val="000000"/>
                <w:sz w:val="22"/>
              </w:rPr>
              <w:t>1</w:t>
            </w:r>
          </w:p>
        </w:tc>
        <w:tc>
          <w:tcPr>
            <w:tcW w:w="1847" w:type="dxa"/>
            <w:vAlign w:val="center"/>
          </w:tcPr>
          <w:p w14:paraId="7D59C12F" w14:textId="70AE2689" w:rsidR="00555B2B" w:rsidRDefault="11344C07" w:rsidP="3D87D998">
            <w:pPr>
              <w:spacing w:beforeAutospacing="1" w:afterAutospacing="1"/>
            </w:pPr>
            <w:r w:rsidRPr="3D87D998">
              <w:rPr>
                <w:color w:val="000000" w:themeColor="text1"/>
                <w:sz w:val="22"/>
                <w:szCs w:val="22"/>
              </w:rPr>
              <w:t>1</w:t>
            </w:r>
          </w:p>
        </w:tc>
        <w:tc>
          <w:tcPr>
            <w:tcW w:w="2070" w:type="dxa"/>
            <w:vAlign w:val="center"/>
          </w:tcPr>
          <w:p w14:paraId="77552B6C" w14:textId="64095106" w:rsidR="00555B2B" w:rsidRDefault="1DEFB071" w:rsidP="3D87D998">
            <w:pPr>
              <w:spacing w:beforeAutospacing="1" w:afterAutospacing="1"/>
            </w:pPr>
            <w:r w:rsidRPr="3D87D998">
              <w:rPr>
                <w:color w:val="000000" w:themeColor="text1"/>
                <w:sz w:val="22"/>
                <w:szCs w:val="22"/>
              </w:rPr>
              <w:t xml:space="preserve">         </w:t>
            </w:r>
            <w:r w:rsidR="7F27446F" w:rsidRPr="3D87D998">
              <w:rPr>
                <w:color w:val="000000" w:themeColor="text1"/>
                <w:sz w:val="22"/>
                <w:szCs w:val="22"/>
              </w:rPr>
              <w:t>100%</w:t>
            </w:r>
          </w:p>
        </w:tc>
      </w:tr>
      <w:tr w:rsidR="00555B2B" w14:paraId="5ADA19B3" w14:textId="77777777" w:rsidTr="00066316">
        <w:trPr>
          <w:cantSplit/>
        </w:trPr>
        <w:tc>
          <w:tcPr>
            <w:tcW w:w="1440" w:type="dxa"/>
            <w:vAlign w:val="center"/>
          </w:tcPr>
          <w:p w14:paraId="6DF6D6F9" w14:textId="77777777" w:rsidR="00555B2B" w:rsidRDefault="1DEFB071" w:rsidP="3D87D998">
            <w:pPr>
              <w:spacing w:beforeAutospacing="1" w:afterAutospacing="1"/>
              <w:rPr>
                <w:color w:val="000000" w:themeColor="text1"/>
                <w:sz w:val="22"/>
                <w:szCs w:val="22"/>
              </w:rPr>
            </w:pPr>
            <w:r w:rsidRPr="3D87D998">
              <w:rPr>
                <w:color w:val="000000" w:themeColor="text1"/>
                <w:sz w:val="22"/>
                <w:szCs w:val="22"/>
              </w:rPr>
              <w:t>Children Services</w:t>
            </w:r>
          </w:p>
        </w:tc>
        <w:tc>
          <w:tcPr>
            <w:tcW w:w="1549" w:type="dxa"/>
            <w:vAlign w:val="center"/>
          </w:tcPr>
          <w:p w14:paraId="31A1EF44" w14:textId="77777777" w:rsidR="00555B2B" w:rsidRDefault="0058077A">
            <w:pPr>
              <w:spacing w:beforeAutospacing="1" w:afterAutospacing="1"/>
            </w:pPr>
            <w:r>
              <w:rPr>
                <w:color w:val="000000"/>
                <w:sz w:val="22"/>
              </w:rPr>
              <w:t>Non-Housing Community Development</w:t>
            </w:r>
          </w:p>
        </w:tc>
        <w:tc>
          <w:tcPr>
            <w:tcW w:w="1241" w:type="dxa"/>
            <w:vAlign w:val="center"/>
          </w:tcPr>
          <w:p w14:paraId="2C64D141" w14:textId="77777777" w:rsidR="00555B2B" w:rsidRDefault="0058077A">
            <w:pPr>
              <w:spacing w:beforeAutospacing="1" w:afterAutospacing="1"/>
            </w:pPr>
            <w:r>
              <w:rPr>
                <w:color w:val="000000"/>
                <w:sz w:val="22"/>
              </w:rPr>
              <w:t>CDBG: $</w:t>
            </w:r>
          </w:p>
        </w:tc>
        <w:tc>
          <w:tcPr>
            <w:tcW w:w="1800" w:type="dxa"/>
            <w:vAlign w:val="center"/>
          </w:tcPr>
          <w:p w14:paraId="32BC8461"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052F47F2" w14:textId="77777777" w:rsidR="00555B2B" w:rsidRDefault="0058077A">
            <w:pPr>
              <w:spacing w:beforeAutospacing="1" w:afterAutospacing="1"/>
            </w:pPr>
            <w:r>
              <w:rPr>
                <w:color w:val="000000"/>
                <w:sz w:val="22"/>
              </w:rPr>
              <w:t>Persons Assisted</w:t>
            </w:r>
          </w:p>
        </w:tc>
        <w:tc>
          <w:tcPr>
            <w:tcW w:w="975" w:type="dxa"/>
            <w:vAlign w:val="center"/>
          </w:tcPr>
          <w:p w14:paraId="01E7C611" w14:textId="77777777" w:rsidR="00555B2B" w:rsidRDefault="0058077A">
            <w:pPr>
              <w:spacing w:beforeAutospacing="1" w:afterAutospacing="1"/>
            </w:pPr>
            <w:r>
              <w:rPr>
                <w:color w:val="000000"/>
                <w:sz w:val="22"/>
              </w:rPr>
              <w:t>78</w:t>
            </w:r>
          </w:p>
        </w:tc>
        <w:tc>
          <w:tcPr>
            <w:tcW w:w="948" w:type="dxa"/>
            <w:vAlign w:val="center"/>
          </w:tcPr>
          <w:p w14:paraId="33A621AA" w14:textId="77777777" w:rsidR="00555B2B" w:rsidRDefault="0058077A">
            <w:pPr>
              <w:spacing w:beforeAutospacing="1" w:afterAutospacing="1"/>
            </w:pPr>
            <w:r>
              <w:rPr>
                <w:color w:val="000000"/>
                <w:sz w:val="22"/>
              </w:rPr>
              <w:t>267</w:t>
            </w:r>
          </w:p>
        </w:tc>
        <w:tc>
          <w:tcPr>
            <w:tcW w:w="1020" w:type="dxa"/>
            <w:vAlign w:val="center"/>
          </w:tcPr>
          <w:p w14:paraId="0766460A" w14:textId="77777777" w:rsidR="00555B2B" w:rsidRDefault="0058077A">
            <w:pPr>
              <w:spacing w:beforeAutospacing="1" w:afterAutospacing="1"/>
            </w:pPr>
            <w:r>
              <w:rPr>
                <w:color w:val="000000"/>
                <w:sz w:val="22"/>
              </w:rPr>
              <w:t xml:space="preserve">       342.31%</w:t>
            </w:r>
          </w:p>
        </w:tc>
        <w:tc>
          <w:tcPr>
            <w:tcW w:w="975" w:type="dxa"/>
            <w:vAlign w:val="center"/>
          </w:tcPr>
          <w:p w14:paraId="7999987D" w14:textId="77777777" w:rsidR="00555B2B" w:rsidRDefault="0058077A">
            <w:pPr>
              <w:spacing w:beforeAutospacing="1" w:afterAutospacing="1"/>
            </w:pPr>
            <w:r>
              <w:rPr>
                <w:color w:val="000000"/>
                <w:sz w:val="22"/>
              </w:rPr>
              <w:t>47</w:t>
            </w:r>
          </w:p>
        </w:tc>
        <w:tc>
          <w:tcPr>
            <w:tcW w:w="1847" w:type="dxa"/>
            <w:vAlign w:val="center"/>
          </w:tcPr>
          <w:p w14:paraId="147BEFB8" w14:textId="54764BBD" w:rsidR="00555B2B" w:rsidRDefault="2F56C6B2" w:rsidP="3D87D998">
            <w:pPr>
              <w:spacing w:beforeAutospacing="1" w:afterAutospacing="1"/>
              <w:rPr>
                <w:color w:val="000000" w:themeColor="text1"/>
                <w:sz w:val="22"/>
                <w:szCs w:val="22"/>
              </w:rPr>
            </w:pPr>
            <w:r w:rsidRPr="3D87D998">
              <w:rPr>
                <w:color w:val="000000" w:themeColor="text1"/>
                <w:sz w:val="22"/>
                <w:szCs w:val="22"/>
              </w:rPr>
              <w:t>245</w:t>
            </w:r>
          </w:p>
        </w:tc>
        <w:tc>
          <w:tcPr>
            <w:tcW w:w="2070" w:type="dxa"/>
            <w:vAlign w:val="center"/>
          </w:tcPr>
          <w:p w14:paraId="71A82681" w14:textId="59447577" w:rsidR="00555B2B" w:rsidRDefault="00555B2B" w:rsidP="3D87D998">
            <w:pPr>
              <w:spacing w:beforeAutospacing="1" w:afterAutospacing="1"/>
            </w:pPr>
          </w:p>
        </w:tc>
      </w:tr>
      <w:tr w:rsidR="00555B2B" w14:paraId="4D9C5F45" w14:textId="77777777" w:rsidTr="00066316">
        <w:trPr>
          <w:cantSplit/>
        </w:trPr>
        <w:tc>
          <w:tcPr>
            <w:tcW w:w="1440" w:type="dxa"/>
            <w:vAlign w:val="center"/>
          </w:tcPr>
          <w:p w14:paraId="7C18C529" w14:textId="77777777" w:rsidR="00555B2B" w:rsidRDefault="0058077A">
            <w:pPr>
              <w:spacing w:beforeAutospacing="1" w:afterAutospacing="1"/>
            </w:pPr>
            <w:r>
              <w:rPr>
                <w:color w:val="000000"/>
                <w:sz w:val="22"/>
              </w:rPr>
              <w:t>Code Enforcement</w:t>
            </w:r>
          </w:p>
        </w:tc>
        <w:tc>
          <w:tcPr>
            <w:tcW w:w="1549" w:type="dxa"/>
            <w:vAlign w:val="center"/>
          </w:tcPr>
          <w:p w14:paraId="5D50ADA1" w14:textId="77777777" w:rsidR="00555B2B" w:rsidRDefault="0058077A">
            <w:pPr>
              <w:spacing w:beforeAutospacing="1" w:afterAutospacing="1"/>
            </w:pPr>
            <w:r>
              <w:rPr>
                <w:color w:val="000000"/>
                <w:sz w:val="22"/>
              </w:rPr>
              <w:t>Non-Housing Community Development</w:t>
            </w:r>
          </w:p>
        </w:tc>
        <w:tc>
          <w:tcPr>
            <w:tcW w:w="1241" w:type="dxa"/>
            <w:vAlign w:val="center"/>
          </w:tcPr>
          <w:p w14:paraId="7B21DD84" w14:textId="77777777" w:rsidR="00555B2B" w:rsidRDefault="0058077A">
            <w:pPr>
              <w:spacing w:beforeAutospacing="1" w:afterAutospacing="1"/>
            </w:pPr>
            <w:r>
              <w:rPr>
                <w:color w:val="000000"/>
                <w:sz w:val="22"/>
              </w:rPr>
              <w:t>CDBG: $</w:t>
            </w:r>
          </w:p>
        </w:tc>
        <w:tc>
          <w:tcPr>
            <w:tcW w:w="1800" w:type="dxa"/>
            <w:vAlign w:val="center"/>
          </w:tcPr>
          <w:p w14:paraId="5D3BFD99" w14:textId="77777777" w:rsidR="00555B2B" w:rsidRDefault="0058077A">
            <w:pPr>
              <w:spacing w:beforeAutospacing="1" w:afterAutospacing="1"/>
            </w:pPr>
            <w:r>
              <w:rPr>
                <w:color w:val="000000"/>
                <w:sz w:val="22"/>
              </w:rPr>
              <w:t>Housing Code Enforcement/Foreclosed Property Care</w:t>
            </w:r>
          </w:p>
        </w:tc>
        <w:tc>
          <w:tcPr>
            <w:tcW w:w="1075" w:type="dxa"/>
            <w:vAlign w:val="center"/>
          </w:tcPr>
          <w:p w14:paraId="617CBF1B" w14:textId="77777777" w:rsidR="00555B2B" w:rsidRDefault="0058077A">
            <w:pPr>
              <w:spacing w:beforeAutospacing="1" w:afterAutospacing="1"/>
            </w:pPr>
            <w:r>
              <w:rPr>
                <w:color w:val="000000"/>
                <w:sz w:val="22"/>
              </w:rPr>
              <w:t>Household Housing Unit</w:t>
            </w:r>
          </w:p>
        </w:tc>
        <w:tc>
          <w:tcPr>
            <w:tcW w:w="975" w:type="dxa"/>
            <w:vAlign w:val="center"/>
          </w:tcPr>
          <w:p w14:paraId="09BC5790" w14:textId="77777777" w:rsidR="00555B2B" w:rsidRDefault="0058077A">
            <w:pPr>
              <w:spacing w:beforeAutospacing="1" w:afterAutospacing="1"/>
            </w:pPr>
            <w:r>
              <w:rPr>
                <w:color w:val="000000"/>
                <w:sz w:val="22"/>
              </w:rPr>
              <w:t>93368</w:t>
            </w:r>
          </w:p>
        </w:tc>
        <w:tc>
          <w:tcPr>
            <w:tcW w:w="948" w:type="dxa"/>
            <w:vAlign w:val="center"/>
          </w:tcPr>
          <w:p w14:paraId="1977E03E" w14:textId="77777777" w:rsidR="00555B2B" w:rsidRDefault="0058077A">
            <w:pPr>
              <w:spacing w:beforeAutospacing="1" w:afterAutospacing="1"/>
            </w:pPr>
            <w:r>
              <w:rPr>
                <w:color w:val="000000"/>
                <w:sz w:val="22"/>
              </w:rPr>
              <w:t>13961</w:t>
            </w:r>
          </w:p>
        </w:tc>
        <w:tc>
          <w:tcPr>
            <w:tcW w:w="1020" w:type="dxa"/>
            <w:vAlign w:val="center"/>
          </w:tcPr>
          <w:p w14:paraId="26E27574" w14:textId="77777777" w:rsidR="00555B2B" w:rsidRDefault="0058077A">
            <w:pPr>
              <w:spacing w:beforeAutospacing="1" w:afterAutospacing="1"/>
            </w:pPr>
            <w:r>
              <w:rPr>
                <w:color w:val="000000"/>
                <w:sz w:val="22"/>
              </w:rPr>
              <w:t xml:space="preserve">        14.95%</w:t>
            </w:r>
          </w:p>
        </w:tc>
        <w:tc>
          <w:tcPr>
            <w:tcW w:w="975" w:type="dxa"/>
            <w:vAlign w:val="center"/>
          </w:tcPr>
          <w:p w14:paraId="58C0AF31" w14:textId="77777777" w:rsidR="00555B2B" w:rsidRDefault="0058077A">
            <w:pPr>
              <w:spacing w:beforeAutospacing="1" w:afterAutospacing="1"/>
            </w:pPr>
            <w:r>
              <w:rPr>
                <w:color w:val="000000"/>
                <w:sz w:val="22"/>
              </w:rPr>
              <w:t xml:space="preserve"> </w:t>
            </w:r>
          </w:p>
        </w:tc>
        <w:tc>
          <w:tcPr>
            <w:tcW w:w="1847" w:type="dxa"/>
            <w:vAlign w:val="center"/>
          </w:tcPr>
          <w:p w14:paraId="730DD2A6" w14:textId="77777777" w:rsidR="00555B2B" w:rsidRDefault="0058077A">
            <w:pPr>
              <w:spacing w:beforeAutospacing="1" w:afterAutospacing="1"/>
            </w:pPr>
            <w:r>
              <w:rPr>
                <w:color w:val="000000"/>
                <w:sz w:val="22"/>
              </w:rPr>
              <w:t xml:space="preserve"> </w:t>
            </w:r>
          </w:p>
        </w:tc>
        <w:tc>
          <w:tcPr>
            <w:tcW w:w="2070" w:type="dxa"/>
            <w:vAlign w:val="center"/>
          </w:tcPr>
          <w:p w14:paraId="74572110" w14:textId="77777777" w:rsidR="00555B2B" w:rsidRDefault="0058077A">
            <w:pPr>
              <w:spacing w:beforeAutospacing="1" w:afterAutospacing="1"/>
            </w:pPr>
            <w:r>
              <w:rPr>
                <w:color w:val="000000"/>
                <w:sz w:val="22"/>
              </w:rPr>
              <w:t xml:space="preserve"> </w:t>
            </w:r>
          </w:p>
        </w:tc>
      </w:tr>
      <w:tr w:rsidR="00555B2B" w14:paraId="4FB1A8F6" w14:textId="77777777" w:rsidTr="00066316">
        <w:trPr>
          <w:cantSplit/>
        </w:trPr>
        <w:tc>
          <w:tcPr>
            <w:tcW w:w="1440" w:type="dxa"/>
            <w:vAlign w:val="center"/>
          </w:tcPr>
          <w:p w14:paraId="02FFA8AC" w14:textId="77777777" w:rsidR="00555B2B" w:rsidRDefault="1DEFB071" w:rsidP="3D87D998">
            <w:pPr>
              <w:spacing w:beforeAutospacing="1" w:afterAutospacing="1"/>
              <w:rPr>
                <w:color w:val="000000" w:themeColor="text1"/>
                <w:sz w:val="22"/>
                <w:szCs w:val="22"/>
              </w:rPr>
            </w:pPr>
            <w:r w:rsidRPr="3D87D998">
              <w:rPr>
                <w:color w:val="000000" w:themeColor="text1"/>
                <w:sz w:val="22"/>
                <w:szCs w:val="22"/>
              </w:rPr>
              <w:t>Domestic Violence Shelter</w:t>
            </w:r>
          </w:p>
        </w:tc>
        <w:tc>
          <w:tcPr>
            <w:tcW w:w="1549" w:type="dxa"/>
            <w:vAlign w:val="center"/>
          </w:tcPr>
          <w:p w14:paraId="24F6705B" w14:textId="77777777" w:rsidR="00555B2B" w:rsidRDefault="0058077A">
            <w:pPr>
              <w:spacing w:beforeAutospacing="1" w:afterAutospacing="1"/>
            </w:pPr>
            <w:r>
              <w:rPr>
                <w:color w:val="000000"/>
                <w:sz w:val="22"/>
              </w:rPr>
              <w:t>Non-Housing Community Development</w:t>
            </w:r>
          </w:p>
        </w:tc>
        <w:tc>
          <w:tcPr>
            <w:tcW w:w="1241" w:type="dxa"/>
            <w:vAlign w:val="center"/>
          </w:tcPr>
          <w:p w14:paraId="1D410A6F" w14:textId="77777777" w:rsidR="00555B2B" w:rsidRDefault="0058077A">
            <w:pPr>
              <w:spacing w:beforeAutospacing="1" w:afterAutospacing="1"/>
            </w:pPr>
            <w:r>
              <w:rPr>
                <w:color w:val="000000"/>
                <w:sz w:val="22"/>
              </w:rPr>
              <w:t>CDBG: $</w:t>
            </w:r>
          </w:p>
        </w:tc>
        <w:tc>
          <w:tcPr>
            <w:tcW w:w="1800" w:type="dxa"/>
            <w:vAlign w:val="center"/>
          </w:tcPr>
          <w:p w14:paraId="633A17B8"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46ACCE0D" w14:textId="77777777" w:rsidR="00555B2B" w:rsidRDefault="0058077A">
            <w:pPr>
              <w:spacing w:beforeAutospacing="1" w:afterAutospacing="1"/>
            </w:pPr>
            <w:r>
              <w:rPr>
                <w:color w:val="000000"/>
                <w:sz w:val="22"/>
              </w:rPr>
              <w:t>Persons Assisted</w:t>
            </w:r>
          </w:p>
        </w:tc>
        <w:tc>
          <w:tcPr>
            <w:tcW w:w="975" w:type="dxa"/>
            <w:vAlign w:val="center"/>
          </w:tcPr>
          <w:p w14:paraId="6E69AB40" w14:textId="77777777" w:rsidR="00555B2B" w:rsidRDefault="0058077A">
            <w:pPr>
              <w:spacing w:beforeAutospacing="1" w:afterAutospacing="1"/>
            </w:pPr>
            <w:r>
              <w:rPr>
                <w:color w:val="000000"/>
                <w:sz w:val="22"/>
              </w:rPr>
              <w:t>0</w:t>
            </w:r>
          </w:p>
        </w:tc>
        <w:tc>
          <w:tcPr>
            <w:tcW w:w="948" w:type="dxa"/>
            <w:vAlign w:val="center"/>
          </w:tcPr>
          <w:p w14:paraId="66DBB0FB" w14:textId="77777777" w:rsidR="00555B2B" w:rsidRDefault="0058077A">
            <w:pPr>
              <w:spacing w:beforeAutospacing="1" w:afterAutospacing="1"/>
            </w:pPr>
            <w:r>
              <w:rPr>
                <w:color w:val="000000"/>
                <w:sz w:val="22"/>
              </w:rPr>
              <w:t>1519</w:t>
            </w:r>
          </w:p>
        </w:tc>
        <w:tc>
          <w:tcPr>
            <w:tcW w:w="1020" w:type="dxa"/>
            <w:vAlign w:val="center"/>
          </w:tcPr>
          <w:p w14:paraId="15217B68" w14:textId="77777777" w:rsidR="00555B2B" w:rsidRDefault="0058077A">
            <w:pPr>
              <w:spacing w:beforeAutospacing="1" w:afterAutospacing="1"/>
            </w:pPr>
            <w:r>
              <w:rPr>
                <w:color w:val="000000"/>
                <w:sz w:val="22"/>
              </w:rPr>
              <w:t xml:space="preserve"> </w:t>
            </w:r>
          </w:p>
        </w:tc>
        <w:tc>
          <w:tcPr>
            <w:tcW w:w="975" w:type="dxa"/>
            <w:vAlign w:val="center"/>
          </w:tcPr>
          <w:p w14:paraId="4087FFAD" w14:textId="77777777" w:rsidR="00555B2B" w:rsidRDefault="0058077A">
            <w:pPr>
              <w:spacing w:beforeAutospacing="1" w:afterAutospacing="1"/>
            </w:pPr>
            <w:r>
              <w:rPr>
                <w:color w:val="000000"/>
                <w:sz w:val="22"/>
              </w:rPr>
              <w:t>500</w:t>
            </w:r>
          </w:p>
        </w:tc>
        <w:tc>
          <w:tcPr>
            <w:tcW w:w="1847" w:type="dxa"/>
            <w:vAlign w:val="center"/>
          </w:tcPr>
          <w:p w14:paraId="3C6860D8" w14:textId="325B2DF9" w:rsidR="00555B2B" w:rsidRDefault="766F6C47" w:rsidP="3D87D998">
            <w:pPr>
              <w:spacing w:beforeAutospacing="1" w:afterAutospacing="1"/>
            </w:pPr>
            <w:r w:rsidRPr="3D87D998">
              <w:rPr>
                <w:color w:val="000000" w:themeColor="text1"/>
                <w:sz w:val="22"/>
                <w:szCs w:val="22"/>
              </w:rPr>
              <w:t>666</w:t>
            </w:r>
          </w:p>
        </w:tc>
        <w:tc>
          <w:tcPr>
            <w:tcW w:w="2070" w:type="dxa"/>
            <w:vAlign w:val="center"/>
          </w:tcPr>
          <w:p w14:paraId="0B5825E0" w14:textId="6EFF77D4" w:rsidR="00555B2B" w:rsidRDefault="1DEFB071" w:rsidP="3D87D998">
            <w:pPr>
              <w:spacing w:beforeAutospacing="1" w:afterAutospacing="1"/>
            </w:pPr>
            <w:r w:rsidRPr="3D87D998">
              <w:rPr>
                <w:color w:val="000000" w:themeColor="text1"/>
                <w:sz w:val="22"/>
                <w:szCs w:val="22"/>
              </w:rPr>
              <w:t xml:space="preserve">       </w:t>
            </w:r>
          </w:p>
        </w:tc>
      </w:tr>
      <w:tr w:rsidR="00555B2B" w14:paraId="5F1726F3" w14:textId="77777777" w:rsidTr="00066316">
        <w:trPr>
          <w:cantSplit/>
        </w:trPr>
        <w:tc>
          <w:tcPr>
            <w:tcW w:w="1440" w:type="dxa"/>
            <w:vAlign w:val="center"/>
          </w:tcPr>
          <w:p w14:paraId="6DABD41C" w14:textId="77777777" w:rsidR="00555B2B" w:rsidRDefault="0058077A">
            <w:pPr>
              <w:spacing w:beforeAutospacing="1" w:afterAutospacing="1"/>
            </w:pPr>
            <w:r>
              <w:rPr>
                <w:color w:val="000000"/>
                <w:sz w:val="22"/>
              </w:rPr>
              <w:t>Domestic Violence Shelter</w:t>
            </w:r>
          </w:p>
        </w:tc>
        <w:tc>
          <w:tcPr>
            <w:tcW w:w="1549" w:type="dxa"/>
            <w:vAlign w:val="center"/>
          </w:tcPr>
          <w:p w14:paraId="73F521D7" w14:textId="77777777" w:rsidR="00555B2B" w:rsidRDefault="0058077A">
            <w:pPr>
              <w:spacing w:beforeAutospacing="1" w:afterAutospacing="1"/>
            </w:pPr>
            <w:r>
              <w:rPr>
                <w:color w:val="000000"/>
                <w:sz w:val="22"/>
              </w:rPr>
              <w:t>Non-Housing Community Development</w:t>
            </w:r>
          </w:p>
        </w:tc>
        <w:tc>
          <w:tcPr>
            <w:tcW w:w="1241" w:type="dxa"/>
            <w:vAlign w:val="center"/>
          </w:tcPr>
          <w:p w14:paraId="1E20360F" w14:textId="77777777" w:rsidR="00555B2B" w:rsidRDefault="0058077A">
            <w:pPr>
              <w:spacing w:beforeAutospacing="1" w:afterAutospacing="1"/>
            </w:pPr>
            <w:r>
              <w:rPr>
                <w:color w:val="000000"/>
                <w:sz w:val="22"/>
              </w:rPr>
              <w:t>CDBG: $</w:t>
            </w:r>
          </w:p>
        </w:tc>
        <w:tc>
          <w:tcPr>
            <w:tcW w:w="1800" w:type="dxa"/>
            <w:vAlign w:val="center"/>
          </w:tcPr>
          <w:p w14:paraId="54C6A827" w14:textId="77777777" w:rsidR="00555B2B" w:rsidRDefault="0058077A">
            <w:pPr>
              <w:spacing w:beforeAutospacing="1" w:afterAutospacing="1"/>
            </w:pPr>
            <w:r>
              <w:rPr>
                <w:color w:val="000000"/>
                <w:sz w:val="22"/>
              </w:rPr>
              <w:t>Homeless Person Overnight Shelter</w:t>
            </w:r>
          </w:p>
        </w:tc>
        <w:tc>
          <w:tcPr>
            <w:tcW w:w="1075" w:type="dxa"/>
            <w:vAlign w:val="center"/>
          </w:tcPr>
          <w:p w14:paraId="642DBDAD" w14:textId="77777777" w:rsidR="00555B2B" w:rsidRDefault="0058077A">
            <w:pPr>
              <w:spacing w:beforeAutospacing="1" w:afterAutospacing="1"/>
            </w:pPr>
            <w:r>
              <w:rPr>
                <w:color w:val="000000"/>
                <w:sz w:val="22"/>
              </w:rPr>
              <w:t>Persons Assisted</w:t>
            </w:r>
          </w:p>
        </w:tc>
        <w:tc>
          <w:tcPr>
            <w:tcW w:w="975" w:type="dxa"/>
            <w:vAlign w:val="center"/>
          </w:tcPr>
          <w:p w14:paraId="49D28A10" w14:textId="77777777" w:rsidR="00555B2B" w:rsidRDefault="0058077A">
            <w:pPr>
              <w:spacing w:beforeAutospacing="1" w:afterAutospacing="1"/>
            </w:pPr>
            <w:r>
              <w:rPr>
                <w:color w:val="000000"/>
                <w:sz w:val="22"/>
              </w:rPr>
              <w:t>400</w:t>
            </w:r>
          </w:p>
        </w:tc>
        <w:tc>
          <w:tcPr>
            <w:tcW w:w="948" w:type="dxa"/>
            <w:vAlign w:val="center"/>
          </w:tcPr>
          <w:p w14:paraId="2D075717" w14:textId="77777777" w:rsidR="00555B2B" w:rsidRDefault="0058077A">
            <w:pPr>
              <w:spacing w:beforeAutospacing="1" w:afterAutospacing="1"/>
            </w:pPr>
            <w:r>
              <w:rPr>
                <w:color w:val="000000"/>
                <w:sz w:val="22"/>
              </w:rPr>
              <w:t>1519</w:t>
            </w:r>
          </w:p>
        </w:tc>
        <w:tc>
          <w:tcPr>
            <w:tcW w:w="1020" w:type="dxa"/>
            <w:vAlign w:val="center"/>
          </w:tcPr>
          <w:p w14:paraId="0DA4C794" w14:textId="77777777" w:rsidR="00555B2B" w:rsidRDefault="0058077A">
            <w:pPr>
              <w:spacing w:beforeAutospacing="1" w:afterAutospacing="1"/>
            </w:pPr>
            <w:r>
              <w:rPr>
                <w:color w:val="000000"/>
                <w:sz w:val="22"/>
              </w:rPr>
              <w:t xml:space="preserve">       379.75%</w:t>
            </w:r>
          </w:p>
        </w:tc>
        <w:tc>
          <w:tcPr>
            <w:tcW w:w="975" w:type="dxa"/>
            <w:vAlign w:val="center"/>
          </w:tcPr>
          <w:p w14:paraId="0589316A" w14:textId="77777777" w:rsidR="00555B2B" w:rsidRDefault="0058077A">
            <w:pPr>
              <w:spacing w:beforeAutospacing="1" w:afterAutospacing="1"/>
            </w:pPr>
            <w:r>
              <w:rPr>
                <w:color w:val="000000"/>
                <w:sz w:val="22"/>
              </w:rPr>
              <w:t>500</w:t>
            </w:r>
          </w:p>
        </w:tc>
        <w:tc>
          <w:tcPr>
            <w:tcW w:w="1847" w:type="dxa"/>
            <w:vAlign w:val="center"/>
          </w:tcPr>
          <w:p w14:paraId="7B396F45" w14:textId="59A50011" w:rsidR="00555B2B" w:rsidRDefault="01FA5154">
            <w:pPr>
              <w:spacing w:beforeAutospacing="1" w:afterAutospacing="1"/>
              <w:rPr>
                <w:color w:val="000000" w:themeColor="text1"/>
                <w:sz w:val="22"/>
                <w:szCs w:val="22"/>
              </w:rPr>
            </w:pPr>
            <w:r w:rsidRPr="3D87D998">
              <w:rPr>
                <w:color w:val="000000" w:themeColor="text1"/>
                <w:sz w:val="22"/>
                <w:szCs w:val="22"/>
              </w:rPr>
              <w:t>666</w:t>
            </w:r>
          </w:p>
        </w:tc>
        <w:tc>
          <w:tcPr>
            <w:tcW w:w="2070" w:type="dxa"/>
            <w:vAlign w:val="center"/>
          </w:tcPr>
          <w:p w14:paraId="656E9A02" w14:textId="2A00765A" w:rsidR="00555B2B" w:rsidRDefault="00555B2B" w:rsidP="3D87D998">
            <w:pPr>
              <w:spacing w:beforeAutospacing="1" w:afterAutospacing="1"/>
            </w:pPr>
          </w:p>
        </w:tc>
      </w:tr>
      <w:tr w:rsidR="00555B2B" w14:paraId="6D16D1A0" w14:textId="77777777" w:rsidTr="00066316">
        <w:trPr>
          <w:cantSplit/>
        </w:trPr>
        <w:tc>
          <w:tcPr>
            <w:tcW w:w="1440" w:type="dxa"/>
            <w:vAlign w:val="center"/>
          </w:tcPr>
          <w:p w14:paraId="163E2B85" w14:textId="77777777" w:rsidR="00555B2B" w:rsidRDefault="0058077A">
            <w:pPr>
              <w:spacing w:beforeAutospacing="1" w:afterAutospacing="1"/>
            </w:pPr>
            <w:r>
              <w:rPr>
                <w:color w:val="000000"/>
                <w:sz w:val="22"/>
              </w:rPr>
              <w:t>Domestic Violence Shelter</w:t>
            </w:r>
          </w:p>
        </w:tc>
        <w:tc>
          <w:tcPr>
            <w:tcW w:w="1549" w:type="dxa"/>
            <w:vAlign w:val="center"/>
          </w:tcPr>
          <w:p w14:paraId="6A184EBA" w14:textId="77777777" w:rsidR="00555B2B" w:rsidRDefault="0058077A">
            <w:pPr>
              <w:spacing w:beforeAutospacing="1" w:afterAutospacing="1"/>
            </w:pPr>
            <w:r>
              <w:rPr>
                <w:color w:val="000000"/>
                <w:sz w:val="22"/>
              </w:rPr>
              <w:t>Non-Housing Community Development</w:t>
            </w:r>
          </w:p>
        </w:tc>
        <w:tc>
          <w:tcPr>
            <w:tcW w:w="1241" w:type="dxa"/>
            <w:vAlign w:val="center"/>
          </w:tcPr>
          <w:p w14:paraId="4191255D" w14:textId="77777777" w:rsidR="00555B2B" w:rsidRDefault="0058077A">
            <w:pPr>
              <w:spacing w:beforeAutospacing="1" w:afterAutospacing="1"/>
            </w:pPr>
            <w:r>
              <w:rPr>
                <w:color w:val="000000"/>
                <w:sz w:val="22"/>
              </w:rPr>
              <w:t>CDBG: $</w:t>
            </w:r>
          </w:p>
        </w:tc>
        <w:tc>
          <w:tcPr>
            <w:tcW w:w="1800" w:type="dxa"/>
            <w:vAlign w:val="center"/>
          </w:tcPr>
          <w:p w14:paraId="78533AEC" w14:textId="77777777" w:rsidR="00555B2B" w:rsidRDefault="0058077A">
            <w:pPr>
              <w:spacing w:beforeAutospacing="1" w:afterAutospacing="1"/>
            </w:pPr>
            <w:r>
              <w:rPr>
                <w:color w:val="000000"/>
                <w:sz w:val="22"/>
              </w:rPr>
              <w:t>Overnight/Emergency Shelter/Transitional Housing Beds added</w:t>
            </w:r>
          </w:p>
        </w:tc>
        <w:tc>
          <w:tcPr>
            <w:tcW w:w="1075" w:type="dxa"/>
            <w:vAlign w:val="center"/>
          </w:tcPr>
          <w:p w14:paraId="2C085D48" w14:textId="77777777" w:rsidR="00555B2B" w:rsidRDefault="0058077A">
            <w:pPr>
              <w:spacing w:beforeAutospacing="1" w:afterAutospacing="1"/>
            </w:pPr>
            <w:r>
              <w:rPr>
                <w:color w:val="000000"/>
                <w:sz w:val="22"/>
              </w:rPr>
              <w:t>Beds</w:t>
            </w:r>
          </w:p>
        </w:tc>
        <w:tc>
          <w:tcPr>
            <w:tcW w:w="975" w:type="dxa"/>
            <w:vAlign w:val="center"/>
          </w:tcPr>
          <w:p w14:paraId="57EF5C36" w14:textId="77777777" w:rsidR="00555B2B" w:rsidRDefault="0058077A">
            <w:pPr>
              <w:spacing w:beforeAutospacing="1" w:afterAutospacing="1"/>
            </w:pPr>
            <w:r>
              <w:rPr>
                <w:color w:val="000000"/>
                <w:sz w:val="22"/>
              </w:rPr>
              <w:t>0</w:t>
            </w:r>
          </w:p>
        </w:tc>
        <w:tc>
          <w:tcPr>
            <w:tcW w:w="948" w:type="dxa"/>
            <w:vAlign w:val="center"/>
          </w:tcPr>
          <w:p w14:paraId="14B16148" w14:textId="77777777" w:rsidR="00555B2B" w:rsidRDefault="0058077A">
            <w:pPr>
              <w:spacing w:beforeAutospacing="1" w:afterAutospacing="1"/>
            </w:pPr>
            <w:r>
              <w:rPr>
                <w:color w:val="000000"/>
                <w:sz w:val="22"/>
              </w:rPr>
              <w:t>0</w:t>
            </w:r>
          </w:p>
        </w:tc>
        <w:tc>
          <w:tcPr>
            <w:tcW w:w="1020" w:type="dxa"/>
            <w:vAlign w:val="center"/>
          </w:tcPr>
          <w:p w14:paraId="73EDBC94" w14:textId="77777777" w:rsidR="00555B2B" w:rsidRDefault="0058077A">
            <w:pPr>
              <w:spacing w:beforeAutospacing="1" w:afterAutospacing="1"/>
            </w:pPr>
            <w:r>
              <w:rPr>
                <w:color w:val="000000"/>
                <w:sz w:val="22"/>
              </w:rPr>
              <w:t xml:space="preserve"> </w:t>
            </w:r>
          </w:p>
        </w:tc>
        <w:tc>
          <w:tcPr>
            <w:tcW w:w="975" w:type="dxa"/>
            <w:vAlign w:val="center"/>
          </w:tcPr>
          <w:p w14:paraId="0268672A" w14:textId="77777777" w:rsidR="00555B2B" w:rsidRDefault="0058077A">
            <w:pPr>
              <w:spacing w:beforeAutospacing="1" w:afterAutospacing="1"/>
            </w:pPr>
            <w:r>
              <w:rPr>
                <w:color w:val="000000"/>
                <w:sz w:val="22"/>
              </w:rPr>
              <w:t>0</w:t>
            </w:r>
          </w:p>
        </w:tc>
        <w:tc>
          <w:tcPr>
            <w:tcW w:w="1847" w:type="dxa"/>
            <w:vAlign w:val="center"/>
          </w:tcPr>
          <w:p w14:paraId="7A4A7139" w14:textId="77777777" w:rsidR="00555B2B" w:rsidRDefault="0058077A">
            <w:pPr>
              <w:spacing w:beforeAutospacing="1" w:afterAutospacing="1"/>
            </w:pPr>
            <w:r>
              <w:rPr>
                <w:color w:val="000000"/>
                <w:sz w:val="22"/>
              </w:rPr>
              <w:t>0</w:t>
            </w:r>
          </w:p>
        </w:tc>
        <w:tc>
          <w:tcPr>
            <w:tcW w:w="2070" w:type="dxa"/>
            <w:vAlign w:val="center"/>
          </w:tcPr>
          <w:p w14:paraId="14E6960B" w14:textId="77777777" w:rsidR="00555B2B" w:rsidRDefault="0058077A">
            <w:pPr>
              <w:spacing w:beforeAutospacing="1" w:afterAutospacing="1"/>
            </w:pPr>
            <w:r>
              <w:rPr>
                <w:color w:val="000000"/>
                <w:sz w:val="22"/>
              </w:rPr>
              <w:t xml:space="preserve"> </w:t>
            </w:r>
          </w:p>
        </w:tc>
      </w:tr>
      <w:tr w:rsidR="00555B2B" w14:paraId="7DB88D9F" w14:textId="77777777" w:rsidTr="00066316">
        <w:trPr>
          <w:cantSplit/>
        </w:trPr>
        <w:tc>
          <w:tcPr>
            <w:tcW w:w="1440" w:type="dxa"/>
            <w:vAlign w:val="center"/>
          </w:tcPr>
          <w:p w14:paraId="1F74D8B8" w14:textId="77777777" w:rsidR="00555B2B" w:rsidRDefault="0058077A">
            <w:pPr>
              <w:spacing w:beforeAutospacing="1" w:afterAutospacing="1"/>
            </w:pPr>
            <w:r>
              <w:rPr>
                <w:color w:val="000000"/>
                <w:sz w:val="22"/>
              </w:rPr>
              <w:t>Downpayment/closing Cost Assistance</w:t>
            </w:r>
          </w:p>
        </w:tc>
        <w:tc>
          <w:tcPr>
            <w:tcW w:w="1549" w:type="dxa"/>
            <w:vAlign w:val="center"/>
          </w:tcPr>
          <w:p w14:paraId="60AACC68" w14:textId="23F65E4C" w:rsidR="00555B2B" w:rsidRDefault="1DEFB071" w:rsidP="3D87D998">
            <w:pPr>
              <w:spacing w:beforeAutospacing="1" w:afterAutospacing="1"/>
            </w:pPr>
            <w:r w:rsidRPr="3D87D998">
              <w:rPr>
                <w:color w:val="000000" w:themeColor="text1"/>
                <w:sz w:val="22"/>
                <w:szCs w:val="22"/>
              </w:rPr>
              <w:t>Affordable Ho</w:t>
            </w:r>
            <w:r w:rsidR="3A6D37E7" w:rsidRPr="3D87D998">
              <w:rPr>
                <w:color w:val="000000" w:themeColor="text1"/>
                <w:sz w:val="22"/>
                <w:szCs w:val="22"/>
              </w:rPr>
              <w:t>0</w:t>
            </w:r>
            <w:r w:rsidRPr="3D87D998">
              <w:rPr>
                <w:color w:val="000000" w:themeColor="text1"/>
                <w:sz w:val="22"/>
                <w:szCs w:val="22"/>
              </w:rPr>
              <w:t>using</w:t>
            </w:r>
          </w:p>
        </w:tc>
        <w:tc>
          <w:tcPr>
            <w:tcW w:w="1241" w:type="dxa"/>
            <w:vAlign w:val="center"/>
          </w:tcPr>
          <w:p w14:paraId="13708927" w14:textId="77777777" w:rsidR="00555B2B" w:rsidRDefault="0058077A">
            <w:pPr>
              <w:spacing w:beforeAutospacing="1" w:afterAutospacing="1"/>
            </w:pPr>
            <w:r>
              <w:rPr>
                <w:color w:val="000000"/>
                <w:sz w:val="22"/>
              </w:rPr>
              <w:t>CDBG: $ / HOME: $</w:t>
            </w:r>
          </w:p>
        </w:tc>
        <w:tc>
          <w:tcPr>
            <w:tcW w:w="1800" w:type="dxa"/>
            <w:vAlign w:val="center"/>
          </w:tcPr>
          <w:p w14:paraId="5F4A48B3" w14:textId="77777777" w:rsidR="00555B2B" w:rsidRDefault="0058077A">
            <w:pPr>
              <w:spacing w:beforeAutospacing="1" w:afterAutospacing="1"/>
            </w:pPr>
            <w:r>
              <w:rPr>
                <w:color w:val="000000"/>
                <w:sz w:val="22"/>
              </w:rPr>
              <w:t>Direct Financial Assistance to Homebuyers</w:t>
            </w:r>
          </w:p>
        </w:tc>
        <w:tc>
          <w:tcPr>
            <w:tcW w:w="1075" w:type="dxa"/>
            <w:vAlign w:val="center"/>
          </w:tcPr>
          <w:p w14:paraId="3FD3E952" w14:textId="77777777" w:rsidR="00555B2B" w:rsidRDefault="0058077A">
            <w:pPr>
              <w:spacing w:beforeAutospacing="1" w:afterAutospacing="1"/>
            </w:pPr>
            <w:r>
              <w:rPr>
                <w:color w:val="000000"/>
                <w:sz w:val="22"/>
              </w:rPr>
              <w:t>Households Assisted</w:t>
            </w:r>
          </w:p>
        </w:tc>
        <w:tc>
          <w:tcPr>
            <w:tcW w:w="975" w:type="dxa"/>
            <w:vAlign w:val="center"/>
          </w:tcPr>
          <w:p w14:paraId="3FAAD704" w14:textId="77777777" w:rsidR="00555B2B" w:rsidRDefault="0058077A">
            <w:pPr>
              <w:spacing w:beforeAutospacing="1" w:afterAutospacing="1"/>
            </w:pPr>
            <w:r>
              <w:rPr>
                <w:color w:val="000000"/>
                <w:sz w:val="22"/>
              </w:rPr>
              <w:t>34</w:t>
            </w:r>
          </w:p>
        </w:tc>
        <w:tc>
          <w:tcPr>
            <w:tcW w:w="948" w:type="dxa"/>
            <w:vAlign w:val="center"/>
          </w:tcPr>
          <w:p w14:paraId="18078155" w14:textId="77777777" w:rsidR="00555B2B" w:rsidRDefault="0058077A">
            <w:pPr>
              <w:spacing w:beforeAutospacing="1" w:afterAutospacing="1"/>
            </w:pPr>
            <w:r>
              <w:rPr>
                <w:color w:val="000000"/>
                <w:sz w:val="22"/>
              </w:rPr>
              <w:t>11</w:t>
            </w:r>
          </w:p>
        </w:tc>
        <w:tc>
          <w:tcPr>
            <w:tcW w:w="1020" w:type="dxa"/>
            <w:vAlign w:val="center"/>
          </w:tcPr>
          <w:p w14:paraId="72F95B4A" w14:textId="77777777" w:rsidR="00555B2B" w:rsidRDefault="0058077A">
            <w:pPr>
              <w:spacing w:beforeAutospacing="1" w:afterAutospacing="1"/>
            </w:pPr>
            <w:r>
              <w:rPr>
                <w:color w:val="000000"/>
                <w:sz w:val="22"/>
              </w:rPr>
              <w:t xml:space="preserve">        32.35%</w:t>
            </w:r>
          </w:p>
        </w:tc>
        <w:tc>
          <w:tcPr>
            <w:tcW w:w="975" w:type="dxa"/>
            <w:vAlign w:val="center"/>
          </w:tcPr>
          <w:p w14:paraId="633015AD" w14:textId="77777777" w:rsidR="00555B2B" w:rsidRDefault="0058077A">
            <w:pPr>
              <w:spacing w:beforeAutospacing="1" w:afterAutospacing="1"/>
            </w:pPr>
            <w:r>
              <w:rPr>
                <w:color w:val="000000"/>
                <w:sz w:val="22"/>
              </w:rPr>
              <w:t>9</w:t>
            </w:r>
          </w:p>
        </w:tc>
        <w:tc>
          <w:tcPr>
            <w:tcW w:w="1847" w:type="dxa"/>
            <w:vAlign w:val="center"/>
          </w:tcPr>
          <w:p w14:paraId="46BC67FC" w14:textId="77777777" w:rsidR="00555B2B" w:rsidRDefault="0058077A">
            <w:pPr>
              <w:spacing w:beforeAutospacing="1" w:afterAutospacing="1"/>
            </w:pPr>
            <w:r>
              <w:rPr>
                <w:color w:val="000000"/>
                <w:sz w:val="22"/>
              </w:rPr>
              <w:t>3</w:t>
            </w:r>
          </w:p>
        </w:tc>
        <w:tc>
          <w:tcPr>
            <w:tcW w:w="2070" w:type="dxa"/>
            <w:vAlign w:val="center"/>
          </w:tcPr>
          <w:p w14:paraId="44EE1C18" w14:textId="77777777" w:rsidR="00555B2B" w:rsidRDefault="0058077A">
            <w:pPr>
              <w:spacing w:beforeAutospacing="1" w:afterAutospacing="1"/>
            </w:pPr>
            <w:r>
              <w:rPr>
                <w:color w:val="000000"/>
                <w:sz w:val="22"/>
              </w:rPr>
              <w:t xml:space="preserve">        33.33%</w:t>
            </w:r>
          </w:p>
        </w:tc>
      </w:tr>
      <w:tr w:rsidR="00555B2B" w14:paraId="686A9249" w14:textId="77777777" w:rsidTr="00066316">
        <w:trPr>
          <w:cantSplit/>
        </w:trPr>
        <w:tc>
          <w:tcPr>
            <w:tcW w:w="1440" w:type="dxa"/>
            <w:vAlign w:val="center"/>
          </w:tcPr>
          <w:p w14:paraId="2C1E02DA" w14:textId="77777777" w:rsidR="00555B2B" w:rsidRDefault="0058077A">
            <w:pPr>
              <w:spacing w:beforeAutospacing="1" w:afterAutospacing="1"/>
            </w:pPr>
            <w:r>
              <w:rPr>
                <w:color w:val="000000"/>
                <w:sz w:val="22"/>
              </w:rPr>
              <w:t>HMIS</w:t>
            </w:r>
          </w:p>
        </w:tc>
        <w:tc>
          <w:tcPr>
            <w:tcW w:w="1549" w:type="dxa"/>
            <w:vAlign w:val="center"/>
          </w:tcPr>
          <w:p w14:paraId="166022DD" w14:textId="77777777" w:rsidR="00555B2B" w:rsidRDefault="0058077A">
            <w:pPr>
              <w:spacing w:beforeAutospacing="1" w:afterAutospacing="1"/>
            </w:pPr>
            <w:r>
              <w:rPr>
                <w:color w:val="000000"/>
                <w:sz w:val="22"/>
              </w:rPr>
              <w:t xml:space="preserve"> </w:t>
            </w:r>
          </w:p>
        </w:tc>
        <w:tc>
          <w:tcPr>
            <w:tcW w:w="1241" w:type="dxa"/>
            <w:vAlign w:val="center"/>
          </w:tcPr>
          <w:p w14:paraId="01263E92" w14:textId="77777777" w:rsidR="00555B2B" w:rsidRDefault="0058077A">
            <w:pPr>
              <w:spacing w:beforeAutospacing="1" w:afterAutospacing="1"/>
            </w:pPr>
            <w:r>
              <w:rPr>
                <w:color w:val="000000"/>
                <w:sz w:val="22"/>
              </w:rPr>
              <w:t>CDBG: $</w:t>
            </w:r>
          </w:p>
        </w:tc>
        <w:tc>
          <w:tcPr>
            <w:tcW w:w="1800" w:type="dxa"/>
            <w:vAlign w:val="center"/>
          </w:tcPr>
          <w:p w14:paraId="333B290D"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7FA2B289" w14:textId="77777777" w:rsidR="00555B2B" w:rsidRDefault="0058077A">
            <w:pPr>
              <w:spacing w:beforeAutospacing="1" w:afterAutospacing="1"/>
            </w:pPr>
            <w:r>
              <w:rPr>
                <w:color w:val="000000"/>
                <w:sz w:val="22"/>
              </w:rPr>
              <w:t>Persons Assisted</w:t>
            </w:r>
          </w:p>
        </w:tc>
        <w:tc>
          <w:tcPr>
            <w:tcW w:w="975" w:type="dxa"/>
            <w:vAlign w:val="center"/>
          </w:tcPr>
          <w:p w14:paraId="1FA81CCF" w14:textId="77777777" w:rsidR="00555B2B" w:rsidRDefault="0058077A">
            <w:pPr>
              <w:spacing w:beforeAutospacing="1" w:afterAutospacing="1"/>
            </w:pPr>
            <w:r>
              <w:rPr>
                <w:color w:val="000000"/>
                <w:sz w:val="22"/>
              </w:rPr>
              <w:t>22000</w:t>
            </w:r>
          </w:p>
        </w:tc>
        <w:tc>
          <w:tcPr>
            <w:tcW w:w="948" w:type="dxa"/>
            <w:vAlign w:val="center"/>
          </w:tcPr>
          <w:p w14:paraId="0F65E3C7" w14:textId="77777777" w:rsidR="00555B2B" w:rsidRDefault="0058077A">
            <w:pPr>
              <w:spacing w:beforeAutospacing="1" w:afterAutospacing="1"/>
            </w:pPr>
            <w:r>
              <w:rPr>
                <w:color w:val="000000"/>
                <w:sz w:val="22"/>
              </w:rPr>
              <w:t>0</w:t>
            </w:r>
          </w:p>
        </w:tc>
        <w:tc>
          <w:tcPr>
            <w:tcW w:w="1020" w:type="dxa"/>
            <w:vAlign w:val="center"/>
          </w:tcPr>
          <w:p w14:paraId="52E01412" w14:textId="77777777" w:rsidR="00555B2B" w:rsidRDefault="0058077A">
            <w:pPr>
              <w:spacing w:beforeAutospacing="1" w:afterAutospacing="1"/>
            </w:pPr>
            <w:r>
              <w:rPr>
                <w:color w:val="000000"/>
                <w:sz w:val="22"/>
              </w:rPr>
              <w:t xml:space="preserve">         0.00%</w:t>
            </w:r>
          </w:p>
        </w:tc>
        <w:tc>
          <w:tcPr>
            <w:tcW w:w="975" w:type="dxa"/>
            <w:vAlign w:val="center"/>
          </w:tcPr>
          <w:p w14:paraId="796EDB04" w14:textId="77777777" w:rsidR="00555B2B" w:rsidRDefault="0058077A">
            <w:pPr>
              <w:spacing w:beforeAutospacing="1" w:afterAutospacing="1"/>
            </w:pPr>
            <w:r>
              <w:rPr>
                <w:color w:val="000000"/>
                <w:sz w:val="22"/>
              </w:rPr>
              <w:t xml:space="preserve"> </w:t>
            </w:r>
          </w:p>
        </w:tc>
        <w:tc>
          <w:tcPr>
            <w:tcW w:w="1847" w:type="dxa"/>
            <w:vAlign w:val="center"/>
          </w:tcPr>
          <w:p w14:paraId="2CD5188C" w14:textId="77777777" w:rsidR="00555B2B" w:rsidRDefault="0058077A">
            <w:pPr>
              <w:spacing w:beforeAutospacing="1" w:afterAutospacing="1"/>
            </w:pPr>
            <w:r>
              <w:rPr>
                <w:color w:val="000000"/>
                <w:sz w:val="22"/>
              </w:rPr>
              <w:t xml:space="preserve"> </w:t>
            </w:r>
          </w:p>
        </w:tc>
        <w:tc>
          <w:tcPr>
            <w:tcW w:w="2070" w:type="dxa"/>
            <w:vAlign w:val="center"/>
          </w:tcPr>
          <w:p w14:paraId="061B8283" w14:textId="77777777" w:rsidR="00555B2B" w:rsidRDefault="0058077A">
            <w:pPr>
              <w:spacing w:beforeAutospacing="1" w:afterAutospacing="1"/>
            </w:pPr>
            <w:r>
              <w:rPr>
                <w:color w:val="000000"/>
                <w:sz w:val="22"/>
              </w:rPr>
              <w:t xml:space="preserve"> </w:t>
            </w:r>
          </w:p>
        </w:tc>
      </w:tr>
      <w:tr w:rsidR="00555B2B" w14:paraId="7CEAB1EC" w14:textId="77777777" w:rsidTr="00066316">
        <w:trPr>
          <w:cantSplit/>
        </w:trPr>
        <w:tc>
          <w:tcPr>
            <w:tcW w:w="1440" w:type="dxa"/>
            <w:vAlign w:val="center"/>
          </w:tcPr>
          <w:p w14:paraId="5B7AEB49" w14:textId="77777777" w:rsidR="00555B2B" w:rsidRDefault="0058077A">
            <w:pPr>
              <w:spacing w:beforeAutospacing="1" w:afterAutospacing="1"/>
            </w:pPr>
            <w:r>
              <w:rPr>
                <w:color w:val="000000"/>
                <w:sz w:val="22"/>
              </w:rPr>
              <w:t>Homeless Shelter &amp; Transitional Housing</w:t>
            </w:r>
          </w:p>
        </w:tc>
        <w:tc>
          <w:tcPr>
            <w:tcW w:w="1549" w:type="dxa"/>
            <w:vAlign w:val="center"/>
          </w:tcPr>
          <w:p w14:paraId="15A13786" w14:textId="77777777" w:rsidR="00555B2B" w:rsidRDefault="0058077A">
            <w:pPr>
              <w:spacing w:beforeAutospacing="1" w:afterAutospacing="1"/>
            </w:pPr>
            <w:r>
              <w:rPr>
                <w:color w:val="000000"/>
                <w:sz w:val="22"/>
              </w:rPr>
              <w:t>Homeless</w:t>
            </w:r>
          </w:p>
        </w:tc>
        <w:tc>
          <w:tcPr>
            <w:tcW w:w="1241" w:type="dxa"/>
            <w:vAlign w:val="center"/>
          </w:tcPr>
          <w:p w14:paraId="64DBC7A6" w14:textId="77777777" w:rsidR="00555B2B" w:rsidRDefault="0058077A">
            <w:pPr>
              <w:spacing w:beforeAutospacing="1" w:afterAutospacing="1"/>
            </w:pPr>
            <w:r>
              <w:rPr>
                <w:color w:val="000000"/>
                <w:sz w:val="22"/>
              </w:rPr>
              <w:t>CDBG: $</w:t>
            </w:r>
          </w:p>
        </w:tc>
        <w:tc>
          <w:tcPr>
            <w:tcW w:w="1800" w:type="dxa"/>
            <w:vAlign w:val="center"/>
          </w:tcPr>
          <w:p w14:paraId="5E871F71"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00CE20B9" w14:textId="77777777" w:rsidR="00555B2B" w:rsidRDefault="0058077A">
            <w:pPr>
              <w:spacing w:beforeAutospacing="1" w:afterAutospacing="1"/>
            </w:pPr>
            <w:r>
              <w:rPr>
                <w:color w:val="000000"/>
                <w:sz w:val="22"/>
              </w:rPr>
              <w:t>Persons Assisted</w:t>
            </w:r>
          </w:p>
        </w:tc>
        <w:tc>
          <w:tcPr>
            <w:tcW w:w="975" w:type="dxa"/>
            <w:vAlign w:val="center"/>
          </w:tcPr>
          <w:p w14:paraId="7ECA178B" w14:textId="77777777" w:rsidR="00555B2B" w:rsidRDefault="0058077A">
            <w:pPr>
              <w:spacing w:beforeAutospacing="1" w:afterAutospacing="1"/>
            </w:pPr>
            <w:r>
              <w:rPr>
                <w:color w:val="000000"/>
                <w:sz w:val="22"/>
              </w:rPr>
              <w:t>0</w:t>
            </w:r>
          </w:p>
        </w:tc>
        <w:tc>
          <w:tcPr>
            <w:tcW w:w="948" w:type="dxa"/>
            <w:vAlign w:val="center"/>
          </w:tcPr>
          <w:p w14:paraId="29F6347F" w14:textId="77777777" w:rsidR="00555B2B" w:rsidRDefault="0058077A">
            <w:pPr>
              <w:spacing w:beforeAutospacing="1" w:afterAutospacing="1"/>
            </w:pPr>
            <w:r>
              <w:rPr>
                <w:color w:val="000000"/>
                <w:sz w:val="22"/>
              </w:rPr>
              <w:t>559</w:t>
            </w:r>
          </w:p>
        </w:tc>
        <w:tc>
          <w:tcPr>
            <w:tcW w:w="1020" w:type="dxa"/>
            <w:vAlign w:val="center"/>
          </w:tcPr>
          <w:p w14:paraId="6548BB09" w14:textId="77777777" w:rsidR="00555B2B" w:rsidRDefault="0058077A">
            <w:pPr>
              <w:spacing w:beforeAutospacing="1" w:afterAutospacing="1"/>
            </w:pPr>
            <w:r>
              <w:rPr>
                <w:color w:val="000000"/>
                <w:sz w:val="22"/>
              </w:rPr>
              <w:t xml:space="preserve"> </w:t>
            </w:r>
          </w:p>
        </w:tc>
        <w:tc>
          <w:tcPr>
            <w:tcW w:w="975" w:type="dxa"/>
            <w:vAlign w:val="center"/>
          </w:tcPr>
          <w:p w14:paraId="323C2C60" w14:textId="77777777" w:rsidR="00555B2B" w:rsidRDefault="0058077A">
            <w:pPr>
              <w:spacing w:beforeAutospacing="1" w:afterAutospacing="1"/>
            </w:pPr>
            <w:r>
              <w:rPr>
                <w:color w:val="000000"/>
                <w:sz w:val="22"/>
              </w:rPr>
              <w:t xml:space="preserve"> </w:t>
            </w:r>
          </w:p>
        </w:tc>
        <w:tc>
          <w:tcPr>
            <w:tcW w:w="1847" w:type="dxa"/>
            <w:vAlign w:val="center"/>
          </w:tcPr>
          <w:p w14:paraId="497F2C20" w14:textId="77777777" w:rsidR="00555B2B" w:rsidRDefault="0058077A">
            <w:pPr>
              <w:spacing w:beforeAutospacing="1" w:afterAutospacing="1"/>
            </w:pPr>
            <w:r>
              <w:rPr>
                <w:color w:val="000000"/>
                <w:sz w:val="22"/>
              </w:rPr>
              <w:t xml:space="preserve"> </w:t>
            </w:r>
          </w:p>
        </w:tc>
        <w:tc>
          <w:tcPr>
            <w:tcW w:w="2070" w:type="dxa"/>
            <w:vAlign w:val="center"/>
          </w:tcPr>
          <w:p w14:paraId="2ECCABE1" w14:textId="77777777" w:rsidR="00555B2B" w:rsidRDefault="0058077A">
            <w:pPr>
              <w:spacing w:beforeAutospacing="1" w:afterAutospacing="1"/>
            </w:pPr>
            <w:r>
              <w:rPr>
                <w:color w:val="000000"/>
                <w:sz w:val="22"/>
              </w:rPr>
              <w:t xml:space="preserve"> </w:t>
            </w:r>
          </w:p>
        </w:tc>
      </w:tr>
      <w:tr w:rsidR="00555B2B" w14:paraId="1E25CE3E" w14:textId="77777777" w:rsidTr="00066316">
        <w:trPr>
          <w:cantSplit/>
        </w:trPr>
        <w:tc>
          <w:tcPr>
            <w:tcW w:w="1440" w:type="dxa"/>
            <w:vAlign w:val="center"/>
          </w:tcPr>
          <w:p w14:paraId="52B8AD1C" w14:textId="77777777" w:rsidR="00555B2B" w:rsidRDefault="0058077A">
            <w:pPr>
              <w:spacing w:beforeAutospacing="1" w:afterAutospacing="1"/>
            </w:pPr>
            <w:r>
              <w:rPr>
                <w:color w:val="000000"/>
                <w:sz w:val="22"/>
              </w:rPr>
              <w:t>Homeless Shelter &amp; Transitional Housing</w:t>
            </w:r>
          </w:p>
        </w:tc>
        <w:tc>
          <w:tcPr>
            <w:tcW w:w="1549" w:type="dxa"/>
            <w:vAlign w:val="center"/>
          </w:tcPr>
          <w:p w14:paraId="11D5E71D" w14:textId="77777777" w:rsidR="00555B2B" w:rsidRDefault="0058077A">
            <w:pPr>
              <w:spacing w:beforeAutospacing="1" w:afterAutospacing="1"/>
            </w:pPr>
            <w:r>
              <w:rPr>
                <w:color w:val="000000"/>
                <w:sz w:val="22"/>
              </w:rPr>
              <w:t>Homeless</w:t>
            </w:r>
          </w:p>
        </w:tc>
        <w:tc>
          <w:tcPr>
            <w:tcW w:w="1241" w:type="dxa"/>
            <w:vAlign w:val="center"/>
          </w:tcPr>
          <w:p w14:paraId="560FF224" w14:textId="77777777" w:rsidR="00555B2B" w:rsidRDefault="0058077A">
            <w:pPr>
              <w:spacing w:beforeAutospacing="1" w:afterAutospacing="1"/>
            </w:pPr>
            <w:r>
              <w:rPr>
                <w:color w:val="000000"/>
                <w:sz w:val="22"/>
              </w:rPr>
              <w:t>CDBG: $</w:t>
            </w:r>
          </w:p>
        </w:tc>
        <w:tc>
          <w:tcPr>
            <w:tcW w:w="1800" w:type="dxa"/>
            <w:vAlign w:val="center"/>
          </w:tcPr>
          <w:p w14:paraId="3CC9282B" w14:textId="77777777" w:rsidR="00555B2B" w:rsidRDefault="0058077A">
            <w:pPr>
              <w:spacing w:beforeAutospacing="1" w:afterAutospacing="1"/>
            </w:pPr>
            <w:r>
              <w:rPr>
                <w:color w:val="000000"/>
                <w:sz w:val="22"/>
              </w:rPr>
              <w:t>Homeless Person Overnight Shelter</w:t>
            </w:r>
          </w:p>
        </w:tc>
        <w:tc>
          <w:tcPr>
            <w:tcW w:w="1075" w:type="dxa"/>
            <w:vAlign w:val="center"/>
          </w:tcPr>
          <w:p w14:paraId="0C16D257" w14:textId="77777777" w:rsidR="00555B2B" w:rsidRDefault="0058077A">
            <w:pPr>
              <w:spacing w:beforeAutospacing="1" w:afterAutospacing="1"/>
            </w:pPr>
            <w:r>
              <w:rPr>
                <w:color w:val="000000"/>
                <w:sz w:val="22"/>
              </w:rPr>
              <w:t>Persons Assisted</w:t>
            </w:r>
          </w:p>
        </w:tc>
        <w:tc>
          <w:tcPr>
            <w:tcW w:w="975" w:type="dxa"/>
            <w:vAlign w:val="center"/>
          </w:tcPr>
          <w:p w14:paraId="6290097A" w14:textId="77777777" w:rsidR="00555B2B" w:rsidRDefault="0058077A">
            <w:pPr>
              <w:spacing w:beforeAutospacing="1" w:afterAutospacing="1"/>
            </w:pPr>
            <w:r>
              <w:rPr>
                <w:color w:val="000000"/>
                <w:sz w:val="22"/>
              </w:rPr>
              <w:t>445</w:t>
            </w:r>
          </w:p>
        </w:tc>
        <w:tc>
          <w:tcPr>
            <w:tcW w:w="948" w:type="dxa"/>
            <w:vAlign w:val="center"/>
          </w:tcPr>
          <w:p w14:paraId="4AC87E29" w14:textId="77777777" w:rsidR="00555B2B" w:rsidRDefault="0058077A">
            <w:pPr>
              <w:spacing w:beforeAutospacing="1" w:afterAutospacing="1"/>
            </w:pPr>
            <w:r>
              <w:rPr>
                <w:color w:val="000000"/>
                <w:sz w:val="22"/>
              </w:rPr>
              <w:t>863</w:t>
            </w:r>
          </w:p>
        </w:tc>
        <w:tc>
          <w:tcPr>
            <w:tcW w:w="1020" w:type="dxa"/>
            <w:vAlign w:val="center"/>
          </w:tcPr>
          <w:p w14:paraId="089CD9DE" w14:textId="77777777" w:rsidR="00555B2B" w:rsidRDefault="0058077A">
            <w:pPr>
              <w:spacing w:beforeAutospacing="1" w:afterAutospacing="1"/>
            </w:pPr>
            <w:r>
              <w:rPr>
                <w:color w:val="000000"/>
                <w:sz w:val="22"/>
              </w:rPr>
              <w:t xml:space="preserve">       193.93%</w:t>
            </w:r>
          </w:p>
        </w:tc>
        <w:tc>
          <w:tcPr>
            <w:tcW w:w="975" w:type="dxa"/>
            <w:vAlign w:val="center"/>
          </w:tcPr>
          <w:p w14:paraId="045ECD81" w14:textId="77777777" w:rsidR="00555B2B" w:rsidRDefault="0058077A">
            <w:pPr>
              <w:spacing w:beforeAutospacing="1" w:afterAutospacing="1"/>
            </w:pPr>
            <w:r>
              <w:rPr>
                <w:color w:val="000000"/>
                <w:sz w:val="22"/>
              </w:rPr>
              <w:t xml:space="preserve"> </w:t>
            </w:r>
          </w:p>
        </w:tc>
        <w:tc>
          <w:tcPr>
            <w:tcW w:w="1847" w:type="dxa"/>
            <w:vAlign w:val="center"/>
          </w:tcPr>
          <w:p w14:paraId="43FE75A6" w14:textId="2984A7ED" w:rsidR="00555B2B" w:rsidRDefault="1DEFB071" w:rsidP="3D87D998">
            <w:pPr>
              <w:spacing w:beforeAutospacing="1" w:afterAutospacing="1"/>
            </w:pPr>
            <w:r w:rsidRPr="3D87D998">
              <w:rPr>
                <w:color w:val="000000" w:themeColor="text1"/>
                <w:sz w:val="22"/>
                <w:szCs w:val="22"/>
              </w:rPr>
              <w:t xml:space="preserve"> </w:t>
            </w:r>
            <w:r w:rsidR="3D4BE701" w:rsidRPr="3D87D998">
              <w:rPr>
                <w:color w:val="000000" w:themeColor="text1"/>
                <w:sz w:val="22"/>
                <w:szCs w:val="22"/>
              </w:rPr>
              <w:t>293</w:t>
            </w:r>
          </w:p>
        </w:tc>
        <w:tc>
          <w:tcPr>
            <w:tcW w:w="2070" w:type="dxa"/>
            <w:vAlign w:val="center"/>
          </w:tcPr>
          <w:p w14:paraId="13F44C75" w14:textId="77777777" w:rsidR="00555B2B" w:rsidRDefault="0058077A">
            <w:pPr>
              <w:spacing w:beforeAutospacing="1" w:afterAutospacing="1"/>
            </w:pPr>
            <w:r>
              <w:rPr>
                <w:color w:val="000000"/>
                <w:sz w:val="22"/>
              </w:rPr>
              <w:t xml:space="preserve"> </w:t>
            </w:r>
          </w:p>
        </w:tc>
      </w:tr>
      <w:tr w:rsidR="00555B2B" w14:paraId="34FC9BF7" w14:textId="77777777" w:rsidTr="00066316">
        <w:trPr>
          <w:cantSplit/>
        </w:trPr>
        <w:tc>
          <w:tcPr>
            <w:tcW w:w="1440" w:type="dxa"/>
            <w:vAlign w:val="center"/>
          </w:tcPr>
          <w:p w14:paraId="2B65DAAB" w14:textId="77777777" w:rsidR="00555B2B" w:rsidRDefault="0058077A">
            <w:pPr>
              <w:spacing w:beforeAutospacing="1" w:afterAutospacing="1"/>
            </w:pPr>
            <w:r>
              <w:rPr>
                <w:color w:val="000000"/>
                <w:sz w:val="22"/>
              </w:rPr>
              <w:t>Homeless Shelter &amp; Transitional Housing</w:t>
            </w:r>
          </w:p>
        </w:tc>
        <w:tc>
          <w:tcPr>
            <w:tcW w:w="1549" w:type="dxa"/>
            <w:vAlign w:val="center"/>
          </w:tcPr>
          <w:p w14:paraId="7D82AA29" w14:textId="77777777" w:rsidR="00555B2B" w:rsidRDefault="0058077A">
            <w:pPr>
              <w:spacing w:beforeAutospacing="1" w:afterAutospacing="1"/>
            </w:pPr>
            <w:r>
              <w:rPr>
                <w:color w:val="000000"/>
                <w:sz w:val="22"/>
              </w:rPr>
              <w:t>Homeless</w:t>
            </w:r>
          </w:p>
        </w:tc>
        <w:tc>
          <w:tcPr>
            <w:tcW w:w="1241" w:type="dxa"/>
            <w:vAlign w:val="center"/>
          </w:tcPr>
          <w:p w14:paraId="18C6D125" w14:textId="77777777" w:rsidR="00555B2B" w:rsidRDefault="0058077A">
            <w:pPr>
              <w:spacing w:beforeAutospacing="1" w:afterAutospacing="1"/>
            </w:pPr>
            <w:r>
              <w:rPr>
                <w:color w:val="000000"/>
                <w:sz w:val="22"/>
              </w:rPr>
              <w:t>CDBG: $</w:t>
            </w:r>
          </w:p>
        </w:tc>
        <w:tc>
          <w:tcPr>
            <w:tcW w:w="1800" w:type="dxa"/>
            <w:vAlign w:val="center"/>
          </w:tcPr>
          <w:p w14:paraId="1E5241CC" w14:textId="77777777" w:rsidR="00555B2B" w:rsidRDefault="0058077A">
            <w:pPr>
              <w:spacing w:beforeAutospacing="1" w:afterAutospacing="1"/>
            </w:pPr>
            <w:r>
              <w:rPr>
                <w:color w:val="000000"/>
                <w:sz w:val="22"/>
              </w:rPr>
              <w:t>Overnight/Emergency Shelter/Transitional Housing Beds added</w:t>
            </w:r>
          </w:p>
        </w:tc>
        <w:tc>
          <w:tcPr>
            <w:tcW w:w="1075" w:type="dxa"/>
            <w:vAlign w:val="center"/>
          </w:tcPr>
          <w:p w14:paraId="54B30247" w14:textId="77777777" w:rsidR="00555B2B" w:rsidRDefault="0058077A">
            <w:pPr>
              <w:spacing w:beforeAutospacing="1" w:afterAutospacing="1"/>
            </w:pPr>
            <w:r>
              <w:rPr>
                <w:color w:val="000000"/>
                <w:sz w:val="22"/>
              </w:rPr>
              <w:t>Beds</w:t>
            </w:r>
          </w:p>
        </w:tc>
        <w:tc>
          <w:tcPr>
            <w:tcW w:w="975" w:type="dxa"/>
            <w:vAlign w:val="center"/>
          </w:tcPr>
          <w:p w14:paraId="726B4F75" w14:textId="77777777" w:rsidR="00555B2B" w:rsidRDefault="0058077A">
            <w:pPr>
              <w:spacing w:beforeAutospacing="1" w:afterAutospacing="1"/>
            </w:pPr>
            <w:r>
              <w:rPr>
                <w:color w:val="000000"/>
                <w:sz w:val="22"/>
              </w:rPr>
              <w:t>78</w:t>
            </w:r>
          </w:p>
        </w:tc>
        <w:tc>
          <w:tcPr>
            <w:tcW w:w="948" w:type="dxa"/>
            <w:vAlign w:val="center"/>
          </w:tcPr>
          <w:p w14:paraId="19D42A67" w14:textId="77777777" w:rsidR="00555B2B" w:rsidRDefault="0058077A">
            <w:pPr>
              <w:spacing w:beforeAutospacing="1" w:afterAutospacing="1"/>
            </w:pPr>
            <w:r>
              <w:rPr>
                <w:color w:val="000000"/>
                <w:sz w:val="22"/>
              </w:rPr>
              <w:t>205</w:t>
            </w:r>
          </w:p>
        </w:tc>
        <w:tc>
          <w:tcPr>
            <w:tcW w:w="1020" w:type="dxa"/>
            <w:vAlign w:val="center"/>
          </w:tcPr>
          <w:p w14:paraId="7B6B5E4C" w14:textId="77777777" w:rsidR="00555B2B" w:rsidRDefault="0058077A">
            <w:pPr>
              <w:spacing w:beforeAutospacing="1" w:afterAutospacing="1"/>
            </w:pPr>
            <w:r>
              <w:rPr>
                <w:color w:val="000000"/>
                <w:sz w:val="22"/>
              </w:rPr>
              <w:t xml:space="preserve">       262.82%</w:t>
            </w:r>
          </w:p>
        </w:tc>
        <w:tc>
          <w:tcPr>
            <w:tcW w:w="975" w:type="dxa"/>
            <w:vAlign w:val="center"/>
          </w:tcPr>
          <w:p w14:paraId="610D823E" w14:textId="77777777" w:rsidR="00555B2B" w:rsidRDefault="0058077A">
            <w:pPr>
              <w:spacing w:beforeAutospacing="1" w:afterAutospacing="1"/>
            </w:pPr>
            <w:r>
              <w:rPr>
                <w:color w:val="000000"/>
                <w:sz w:val="22"/>
              </w:rPr>
              <w:t xml:space="preserve"> </w:t>
            </w:r>
          </w:p>
        </w:tc>
        <w:tc>
          <w:tcPr>
            <w:tcW w:w="1847" w:type="dxa"/>
            <w:vAlign w:val="center"/>
          </w:tcPr>
          <w:p w14:paraId="5E4A6F72" w14:textId="28F603A4" w:rsidR="00555B2B" w:rsidRDefault="1DEFB071" w:rsidP="3D87D998">
            <w:pPr>
              <w:spacing w:beforeAutospacing="1" w:afterAutospacing="1"/>
            </w:pPr>
            <w:r w:rsidRPr="3D87D998">
              <w:rPr>
                <w:color w:val="000000" w:themeColor="text1"/>
                <w:sz w:val="22"/>
                <w:szCs w:val="22"/>
              </w:rPr>
              <w:t xml:space="preserve"> </w:t>
            </w:r>
            <w:r w:rsidR="620C2718" w:rsidRPr="3D87D998">
              <w:rPr>
                <w:color w:val="000000" w:themeColor="text1"/>
                <w:sz w:val="22"/>
                <w:szCs w:val="22"/>
              </w:rPr>
              <w:t>293</w:t>
            </w:r>
          </w:p>
        </w:tc>
        <w:tc>
          <w:tcPr>
            <w:tcW w:w="2070" w:type="dxa"/>
            <w:vAlign w:val="center"/>
          </w:tcPr>
          <w:p w14:paraId="68A249F8" w14:textId="77777777" w:rsidR="00555B2B" w:rsidRDefault="0058077A">
            <w:pPr>
              <w:spacing w:beforeAutospacing="1" w:afterAutospacing="1"/>
            </w:pPr>
            <w:r>
              <w:rPr>
                <w:color w:val="000000"/>
                <w:sz w:val="22"/>
              </w:rPr>
              <w:t xml:space="preserve"> </w:t>
            </w:r>
          </w:p>
        </w:tc>
      </w:tr>
      <w:tr w:rsidR="00555B2B" w14:paraId="262C7326" w14:textId="77777777" w:rsidTr="00066316">
        <w:trPr>
          <w:cantSplit/>
        </w:trPr>
        <w:tc>
          <w:tcPr>
            <w:tcW w:w="1440" w:type="dxa"/>
            <w:vAlign w:val="center"/>
          </w:tcPr>
          <w:p w14:paraId="59F829A5" w14:textId="77777777" w:rsidR="00555B2B" w:rsidRDefault="0058077A">
            <w:pPr>
              <w:spacing w:beforeAutospacing="1" w:afterAutospacing="1"/>
            </w:pPr>
            <w:r>
              <w:rPr>
                <w:color w:val="000000"/>
                <w:sz w:val="22"/>
              </w:rPr>
              <w:t>Housing Development/Acquisition and Rehab</w:t>
            </w:r>
          </w:p>
        </w:tc>
        <w:tc>
          <w:tcPr>
            <w:tcW w:w="1549" w:type="dxa"/>
            <w:vAlign w:val="center"/>
          </w:tcPr>
          <w:p w14:paraId="206293C2" w14:textId="77777777" w:rsidR="00555B2B" w:rsidRDefault="0058077A">
            <w:pPr>
              <w:spacing w:beforeAutospacing="1" w:afterAutospacing="1"/>
            </w:pPr>
            <w:r>
              <w:rPr>
                <w:color w:val="000000"/>
                <w:sz w:val="22"/>
              </w:rPr>
              <w:t>Affordable Housing</w:t>
            </w:r>
          </w:p>
        </w:tc>
        <w:tc>
          <w:tcPr>
            <w:tcW w:w="1241" w:type="dxa"/>
            <w:vAlign w:val="center"/>
          </w:tcPr>
          <w:p w14:paraId="00CB33C6" w14:textId="77777777" w:rsidR="00555B2B" w:rsidRDefault="0058077A">
            <w:pPr>
              <w:spacing w:beforeAutospacing="1" w:afterAutospacing="1"/>
            </w:pPr>
            <w:r>
              <w:rPr>
                <w:color w:val="000000"/>
                <w:sz w:val="22"/>
              </w:rPr>
              <w:t>HOME: $</w:t>
            </w:r>
          </w:p>
        </w:tc>
        <w:tc>
          <w:tcPr>
            <w:tcW w:w="1800" w:type="dxa"/>
            <w:vAlign w:val="center"/>
          </w:tcPr>
          <w:p w14:paraId="0E8DF28C" w14:textId="77777777" w:rsidR="00555B2B" w:rsidRDefault="0058077A">
            <w:pPr>
              <w:spacing w:beforeAutospacing="1" w:afterAutospacing="1"/>
            </w:pPr>
            <w:r>
              <w:rPr>
                <w:color w:val="000000"/>
                <w:sz w:val="22"/>
              </w:rPr>
              <w:t>Homeowner Housing Added</w:t>
            </w:r>
          </w:p>
        </w:tc>
        <w:tc>
          <w:tcPr>
            <w:tcW w:w="1075" w:type="dxa"/>
            <w:vAlign w:val="center"/>
          </w:tcPr>
          <w:p w14:paraId="769EA080" w14:textId="77777777" w:rsidR="00555B2B" w:rsidRDefault="0058077A">
            <w:pPr>
              <w:spacing w:beforeAutospacing="1" w:afterAutospacing="1"/>
            </w:pPr>
            <w:r>
              <w:rPr>
                <w:color w:val="000000"/>
                <w:sz w:val="22"/>
              </w:rPr>
              <w:t>Household Housing Unit</w:t>
            </w:r>
          </w:p>
        </w:tc>
        <w:tc>
          <w:tcPr>
            <w:tcW w:w="975" w:type="dxa"/>
            <w:vAlign w:val="center"/>
          </w:tcPr>
          <w:p w14:paraId="3E804A52" w14:textId="77777777" w:rsidR="00555B2B" w:rsidRDefault="0058077A">
            <w:pPr>
              <w:spacing w:beforeAutospacing="1" w:afterAutospacing="1"/>
            </w:pPr>
            <w:r>
              <w:rPr>
                <w:color w:val="000000"/>
                <w:sz w:val="22"/>
              </w:rPr>
              <w:t>4</w:t>
            </w:r>
          </w:p>
        </w:tc>
        <w:tc>
          <w:tcPr>
            <w:tcW w:w="948" w:type="dxa"/>
            <w:vAlign w:val="center"/>
          </w:tcPr>
          <w:p w14:paraId="5AAFF8BD" w14:textId="77777777" w:rsidR="00555B2B" w:rsidRDefault="0058077A">
            <w:pPr>
              <w:spacing w:beforeAutospacing="1" w:afterAutospacing="1"/>
            </w:pPr>
            <w:r>
              <w:rPr>
                <w:color w:val="000000"/>
                <w:sz w:val="22"/>
              </w:rPr>
              <w:t>1</w:t>
            </w:r>
          </w:p>
        </w:tc>
        <w:tc>
          <w:tcPr>
            <w:tcW w:w="1020" w:type="dxa"/>
            <w:vAlign w:val="center"/>
          </w:tcPr>
          <w:p w14:paraId="2BE65968" w14:textId="77777777" w:rsidR="00555B2B" w:rsidRDefault="0058077A">
            <w:pPr>
              <w:spacing w:beforeAutospacing="1" w:afterAutospacing="1"/>
            </w:pPr>
            <w:r>
              <w:rPr>
                <w:color w:val="000000"/>
                <w:sz w:val="22"/>
              </w:rPr>
              <w:t xml:space="preserve">        25.00%</w:t>
            </w:r>
          </w:p>
        </w:tc>
        <w:tc>
          <w:tcPr>
            <w:tcW w:w="975" w:type="dxa"/>
            <w:vAlign w:val="center"/>
          </w:tcPr>
          <w:p w14:paraId="3F00B017" w14:textId="77777777" w:rsidR="00555B2B" w:rsidRDefault="0058077A">
            <w:pPr>
              <w:spacing w:beforeAutospacing="1" w:afterAutospacing="1"/>
            </w:pPr>
            <w:r>
              <w:rPr>
                <w:color w:val="000000"/>
                <w:sz w:val="22"/>
              </w:rPr>
              <w:t>2</w:t>
            </w:r>
          </w:p>
        </w:tc>
        <w:tc>
          <w:tcPr>
            <w:tcW w:w="1847" w:type="dxa"/>
            <w:vAlign w:val="center"/>
          </w:tcPr>
          <w:p w14:paraId="18703CDF" w14:textId="6EC91CEE" w:rsidR="00555B2B" w:rsidRDefault="78A3546E">
            <w:pPr>
              <w:spacing w:beforeAutospacing="1" w:afterAutospacing="1"/>
            </w:pPr>
            <w:r w:rsidRPr="3D87D998">
              <w:rPr>
                <w:color w:val="000000" w:themeColor="text1"/>
                <w:sz w:val="22"/>
                <w:szCs w:val="22"/>
              </w:rPr>
              <w:t>0</w:t>
            </w:r>
          </w:p>
        </w:tc>
        <w:tc>
          <w:tcPr>
            <w:tcW w:w="2070" w:type="dxa"/>
            <w:vAlign w:val="center"/>
          </w:tcPr>
          <w:p w14:paraId="24DBFAAD" w14:textId="3467C62E" w:rsidR="00555B2B" w:rsidRDefault="00555B2B" w:rsidP="3D87D998">
            <w:pPr>
              <w:spacing w:beforeAutospacing="1" w:afterAutospacing="1"/>
            </w:pPr>
          </w:p>
        </w:tc>
      </w:tr>
      <w:tr w:rsidR="00555B2B" w14:paraId="50B6434C" w14:textId="77777777" w:rsidTr="00066316">
        <w:trPr>
          <w:cantSplit/>
        </w:trPr>
        <w:tc>
          <w:tcPr>
            <w:tcW w:w="1440" w:type="dxa"/>
            <w:vAlign w:val="center"/>
          </w:tcPr>
          <w:p w14:paraId="124A4A68" w14:textId="77777777" w:rsidR="00555B2B" w:rsidRDefault="1DEFB071" w:rsidP="3D87D998">
            <w:pPr>
              <w:spacing w:beforeAutospacing="1" w:afterAutospacing="1"/>
              <w:rPr>
                <w:color w:val="000000" w:themeColor="text1"/>
                <w:sz w:val="22"/>
                <w:szCs w:val="22"/>
              </w:rPr>
            </w:pPr>
            <w:r w:rsidRPr="3D87D998">
              <w:rPr>
                <w:color w:val="000000" w:themeColor="text1"/>
                <w:sz w:val="22"/>
                <w:szCs w:val="22"/>
              </w:rPr>
              <w:t>Housing Rehabilitation/Reconstruction</w:t>
            </w:r>
          </w:p>
        </w:tc>
        <w:tc>
          <w:tcPr>
            <w:tcW w:w="1549" w:type="dxa"/>
            <w:vAlign w:val="center"/>
          </w:tcPr>
          <w:p w14:paraId="471523D7" w14:textId="77777777" w:rsidR="00555B2B" w:rsidRDefault="0058077A">
            <w:pPr>
              <w:spacing w:beforeAutospacing="1" w:afterAutospacing="1"/>
            </w:pPr>
            <w:r>
              <w:rPr>
                <w:color w:val="000000"/>
                <w:sz w:val="22"/>
              </w:rPr>
              <w:t>Affordable Housing</w:t>
            </w:r>
          </w:p>
        </w:tc>
        <w:tc>
          <w:tcPr>
            <w:tcW w:w="1241" w:type="dxa"/>
            <w:vAlign w:val="center"/>
          </w:tcPr>
          <w:p w14:paraId="110CC174" w14:textId="77777777" w:rsidR="00555B2B" w:rsidRDefault="0058077A">
            <w:pPr>
              <w:spacing w:beforeAutospacing="1" w:afterAutospacing="1"/>
            </w:pPr>
            <w:r>
              <w:rPr>
                <w:color w:val="000000"/>
                <w:sz w:val="22"/>
              </w:rPr>
              <w:t>CDBG: $ / HOME: $</w:t>
            </w:r>
          </w:p>
        </w:tc>
        <w:tc>
          <w:tcPr>
            <w:tcW w:w="1800" w:type="dxa"/>
            <w:vAlign w:val="center"/>
          </w:tcPr>
          <w:p w14:paraId="31664A85" w14:textId="77777777" w:rsidR="00555B2B" w:rsidRDefault="0058077A">
            <w:pPr>
              <w:spacing w:beforeAutospacing="1" w:afterAutospacing="1"/>
            </w:pPr>
            <w:r>
              <w:rPr>
                <w:color w:val="000000"/>
                <w:sz w:val="22"/>
              </w:rPr>
              <w:t>Homeowner Housing Rehabilitated</w:t>
            </w:r>
          </w:p>
        </w:tc>
        <w:tc>
          <w:tcPr>
            <w:tcW w:w="1075" w:type="dxa"/>
            <w:vAlign w:val="center"/>
          </w:tcPr>
          <w:p w14:paraId="3C459FD1" w14:textId="77777777" w:rsidR="00555B2B" w:rsidRDefault="0058077A">
            <w:pPr>
              <w:spacing w:beforeAutospacing="1" w:afterAutospacing="1"/>
            </w:pPr>
            <w:r>
              <w:rPr>
                <w:color w:val="000000"/>
                <w:sz w:val="22"/>
              </w:rPr>
              <w:t>Household Housing Unit</w:t>
            </w:r>
          </w:p>
        </w:tc>
        <w:tc>
          <w:tcPr>
            <w:tcW w:w="975" w:type="dxa"/>
            <w:vAlign w:val="center"/>
          </w:tcPr>
          <w:p w14:paraId="5610E40D" w14:textId="77777777" w:rsidR="00555B2B" w:rsidRDefault="0058077A">
            <w:pPr>
              <w:spacing w:beforeAutospacing="1" w:afterAutospacing="1"/>
            </w:pPr>
            <w:r>
              <w:rPr>
                <w:color w:val="000000"/>
                <w:sz w:val="22"/>
              </w:rPr>
              <w:t>320</w:t>
            </w:r>
          </w:p>
        </w:tc>
        <w:tc>
          <w:tcPr>
            <w:tcW w:w="948" w:type="dxa"/>
            <w:vAlign w:val="center"/>
          </w:tcPr>
          <w:p w14:paraId="6109995E" w14:textId="77777777" w:rsidR="00555B2B" w:rsidRDefault="0058077A">
            <w:pPr>
              <w:spacing w:beforeAutospacing="1" w:afterAutospacing="1"/>
            </w:pPr>
            <w:r>
              <w:rPr>
                <w:color w:val="000000"/>
                <w:sz w:val="22"/>
              </w:rPr>
              <w:t>90</w:t>
            </w:r>
          </w:p>
        </w:tc>
        <w:tc>
          <w:tcPr>
            <w:tcW w:w="1020" w:type="dxa"/>
            <w:vAlign w:val="center"/>
          </w:tcPr>
          <w:p w14:paraId="484D9266" w14:textId="77777777" w:rsidR="00555B2B" w:rsidRDefault="0058077A">
            <w:pPr>
              <w:spacing w:beforeAutospacing="1" w:afterAutospacing="1"/>
            </w:pPr>
            <w:r>
              <w:rPr>
                <w:color w:val="000000"/>
                <w:sz w:val="22"/>
              </w:rPr>
              <w:t xml:space="preserve">        28.13%</w:t>
            </w:r>
          </w:p>
        </w:tc>
        <w:tc>
          <w:tcPr>
            <w:tcW w:w="975" w:type="dxa"/>
            <w:vAlign w:val="center"/>
          </w:tcPr>
          <w:p w14:paraId="62F6386E" w14:textId="77777777" w:rsidR="00555B2B" w:rsidRDefault="0058077A">
            <w:pPr>
              <w:spacing w:beforeAutospacing="1" w:afterAutospacing="1"/>
            </w:pPr>
            <w:r>
              <w:rPr>
                <w:color w:val="000000"/>
                <w:sz w:val="22"/>
              </w:rPr>
              <w:t>29</w:t>
            </w:r>
          </w:p>
        </w:tc>
        <w:tc>
          <w:tcPr>
            <w:tcW w:w="1847" w:type="dxa"/>
            <w:vAlign w:val="center"/>
          </w:tcPr>
          <w:p w14:paraId="1ADFCAF3" w14:textId="0C2AA5F6" w:rsidR="00555B2B" w:rsidRDefault="6ED850AC" w:rsidP="3D87D998">
            <w:pPr>
              <w:spacing w:beforeAutospacing="1" w:afterAutospacing="1"/>
            </w:pPr>
            <w:r w:rsidRPr="3D87D998">
              <w:rPr>
                <w:color w:val="000000" w:themeColor="text1"/>
                <w:sz w:val="22"/>
                <w:szCs w:val="22"/>
              </w:rPr>
              <w:t>42</w:t>
            </w:r>
          </w:p>
        </w:tc>
        <w:tc>
          <w:tcPr>
            <w:tcW w:w="2070" w:type="dxa"/>
            <w:vAlign w:val="center"/>
          </w:tcPr>
          <w:p w14:paraId="167990D7" w14:textId="5B2D7A46" w:rsidR="00555B2B" w:rsidRDefault="00555B2B" w:rsidP="3D87D998">
            <w:pPr>
              <w:spacing w:beforeAutospacing="1" w:afterAutospacing="1"/>
            </w:pPr>
          </w:p>
        </w:tc>
      </w:tr>
      <w:tr w:rsidR="00555B2B" w14:paraId="57B9953A" w14:textId="77777777" w:rsidTr="00066316">
        <w:trPr>
          <w:cantSplit/>
        </w:trPr>
        <w:tc>
          <w:tcPr>
            <w:tcW w:w="1440" w:type="dxa"/>
            <w:vAlign w:val="center"/>
          </w:tcPr>
          <w:p w14:paraId="7B40A77A" w14:textId="77777777" w:rsidR="00555B2B" w:rsidRDefault="0058077A">
            <w:pPr>
              <w:spacing w:beforeAutospacing="1" w:afterAutospacing="1"/>
            </w:pPr>
            <w:r>
              <w:rPr>
                <w:color w:val="000000"/>
                <w:sz w:val="22"/>
              </w:rPr>
              <w:t>Park Improvements</w:t>
            </w:r>
          </w:p>
        </w:tc>
        <w:tc>
          <w:tcPr>
            <w:tcW w:w="1549" w:type="dxa"/>
            <w:vAlign w:val="center"/>
          </w:tcPr>
          <w:p w14:paraId="7A65F099" w14:textId="77777777" w:rsidR="00555B2B" w:rsidRDefault="0058077A">
            <w:pPr>
              <w:spacing w:beforeAutospacing="1" w:afterAutospacing="1"/>
            </w:pPr>
            <w:r>
              <w:rPr>
                <w:color w:val="000000"/>
                <w:sz w:val="22"/>
              </w:rPr>
              <w:t>Non-Housing Community Development</w:t>
            </w:r>
          </w:p>
        </w:tc>
        <w:tc>
          <w:tcPr>
            <w:tcW w:w="1241" w:type="dxa"/>
            <w:vAlign w:val="center"/>
          </w:tcPr>
          <w:p w14:paraId="33CC1265" w14:textId="77777777" w:rsidR="00555B2B" w:rsidRDefault="0058077A">
            <w:pPr>
              <w:spacing w:beforeAutospacing="1" w:afterAutospacing="1"/>
            </w:pPr>
            <w:r>
              <w:rPr>
                <w:color w:val="000000"/>
                <w:sz w:val="22"/>
              </w:rPr>
              <w:t>CDBG: $</w:t>
            </w:r>
          </w:p>
        </w:tc>
        <w:tc>
          <w:tcPr>
            <w:tcW w:w="1800" w:type="dxa"/>
            <w:vAlign w:val="center"/>
          </w:tcPr>
          <w:p w14:paraId="36EA8D6D" w14:textId="77777777" w:rsidR="00555B2B" w:rsidRDefault="0058077A">
            <w:pPr>
              <w:spacing w:beforeAutospacing="1" w:afterAutospacing="1"/>
            </w:pPr>
            <w:r>
              <w:rPr>
                <w:color w:val="000000"/>
                <w:sz w:val="22"/>
              </w:rPr>
              <w:t>Public Facility or Infrastructure Activities other than Low/Moderate Income Housing Benefit</w:t>
            </w:r>
          </w:p>
        </w:tc>
        <w:tc>
          <w:tcPr>
            <w:tcW w:w="1075" w:type="dxa"/>
            <w:vAlign w:val="center"/>
          </w:tcPr>
          <w:p w14:paraId="5F40552E" w14:textId="77777777" w:rsidR="00555B2B" w:rsidRDefault="0058077A">
            <w:pPr>
              <w:spacing w:beforeAutospacing="1" w:afterAutospacing="1"/>
            </w:pPr>
            <w:r>
              <w:rPr>
                <w:color w:val="000000"/>
                <w:sz w:val="22"/>
              </w:rPr>
              <w:t>Persons Assisted</w:t>
            </w:r>
          </w:p>
        </w:tc>
        <w:tc>
          <w:tcPr>
            <w:tcW w:w="975" w:type="dxa"/>
            <w:vAlign w:val="center"/>
          </w:tcPr>
          <w:p w14:paraId="4210A399" w14:textId="77777777" w:rsidR="00555B2B" w:rsidRDefault="0058077A">
            <w:pPr>
              <w:spacing w:beforeAutospacing="1" w:afterAutospacing="1"/>
            </w:pPr>
            <w:r>
              <w:rPr>
                <w:color w:val="000000"/>
                <w:sz w:val="22"/>
              </w:rPr>
              <w:t>15000</w:t>
            </w:r>
          </w:p>
        </w:tc>
        <w:tc>
          <w:tcPr>
            <w:tcW w:w="948" w:type="dxa"/>
            <w:vAlign w:val="center"/>
          </w:tcPr>
          <w:p w14:paraId="1360EEEA" w14:textId="77777777" w:rsidR="00555B2B" w:rsidRDefault="0058077A">
            <w:pPr>
              <w:spacing w:beforeAutospacing="1" w:afterAutospacing="1"/>
            </w:pPr>
            <w:r>
              <w:rPr>
                <w:color w:val="000000"/>
                <w:sz w:val="22"/>
              </w:rPr>
              <w:t>146615</w:t>
            </w:r>
          </w:p>
        </w:tc>
        <w:tc>
          <w:tcPr>
            <w:tcW w:w="1020" w:type="dxa"/>
            <w:vAlign w:val="center"/>
          </w:tcPr>
          <w:p w14:paraId="08BA41AE" w14:textId="77777777" w:rsidR="00555B2B" w:rsidRDefault="0058077A">
            <w:pPr>
              <w:spacing w:beforeAutospacing="1" w:afterAutospacing="1"/>
            </w:pPr>
            <w:r>
              <w:rPr>
                <w:color w:val="000000"/>
                <w:sz w:val="22"/>
              </w:rPr>
              <w:t xml:space="preserve">       977.43%</w:t>
            </w:r>
          </w:p>
        </w:tc>
        <w:tc>
          <w:tcPr>
            <w:tcW w:w="975" w:type="dxa"/>
            <w:vAlign w:val="center"/>
          </w:tcPr>
          <w:p w14:paraId="6C766C4D" w14:textId="77777777" w:rsidR="00555B2B" w:rsidRDefault="0058077A">
            <w:pPr>
              <w:spacing w:beforeAutospacing="1" w:afterAutospacing="1"/>
            </w:pPr>
            <w:r>
              <w:rPr>
                <w:color w:val="000000"/>
                <w:sz w:val="22"/>
              </w:rPr>
              <w:t xml:space="preserve"> </w:t>
            </w:r>
          </w:p>
        </w:tc>
        <w:tc>
          <w:tcPr>
            <w:tcW w:w="1847" w:type="dxa"/>
            <w:vAlign w:val="center"/>
          </w:tcPr>
          <w:p w14:paraId="1625B9BD" w14:textId="77777777" w:rsidR="00555B2B" w:rsidRDefault="0058077A">
            <w:pPr>
              <w:spacing w:beforeAutospacing="1" w:afterAutospacing="1"/>
            </w:pPr>
            <w:r>
              <w:rPr>
                <w:color w:val="000000"/>
                <w:sz w:val="22"/>
              </w:rPr>
              <w:t xml:space="preserve"> </w:t>
            </w:r>
          </w:p>
        </w:tc>
        <w:tc>
          <w:tcPr>
            <w:tcW w:w="2070" w:type="dxa"/>
            <w:vAlign w:val="center"/>
          </w:tcPr>
          <w:p w14:paraId="40535390" w14:textId="77777777" w:rsidR="00555B2B" w:rsidRDefault="0058077A">
            <w:pPr>
              <w:spacing w:beforeAutospacing="1" w:afterAutospacing="1"/>
            </w:pPr>
            <w:r>
              <w:rPr>
                <w:color w:val="000000"/>
                <w:sz w:val="22"/>
              </w:rPr>
              <w:t xml:space="preserve"> </w:t>
            </w:r>
          </w:p>
        </w:tc>
      </w:tr>
      <w:tr w:rsidR="00555B2B" w14:paraId="52FB782B" w14:textId="77777777" w:rsidTr="00066316">
        <w:trPr>
          <w:cantSplit/>
        </w:trPr>
        <w:tc>
          <w:tcPr>
            <w:tcW w:w="1440" w:type="dxa"/>
            <w:vAlign w:val="center"/>
          </w:tcPr>
          <w:p w14:paraId="059EAAB7" w14:textId="77777777" w:rsidR="00555B2B" w:rsidRDefault="0058077A">
            <w:pPr>
              <w:spacing w:beforeAutospacing="1" w:afterAutospacing="1"/>
            </w:pPr>
            <w:r>
              <w:rPr>
                <w:color w:val="000000"/>
                <w:sz w:val="22"/>
              </w:rPr>
              <w:t>Park Improvements</w:t>
            </w:r>
          </w:p>
        </w:tc>
        <w:tc>
          <w:tcPr>
            <w:tcW w:w="1549" w:type="dxa"/>
            <w:vAlign w:val="center"/>
          </w:tcPr>
          <w:p w14:paraId="3307DD63" w14:textId="77777777" w:rsidR="00555B2B" w:rsidRDefault="0058077A">
            <w:pPr>
              <w:spacing w:beforeAutospacing="1" w:afterAutospacing="1"/>
            </w:pPr>
            <w:r>
              <w:rPr>
                <w:color w:val="000000"/>
                <w:sz w:val="22"/>
              </w:rPr>
              <w:t>Non-Housing Community Development</w:t>
            </w:r>
          </w:p>
        </w:tc>
        <w:tc>
          <w:tcPr>
            <w:tcW w:w="1241" w:type="dxa"/>
            <w:vAlign w:val="center"/>
          </w:tcPr>
          <w:p w14:paraId="4FC4ED90" w14:textId="77777777" w:rsidR="00555B2B" w:rsidRDefault="0058077A">
            <w:pPr>
              <w:spacing w:beforeAutospacing="1" w:afterAutospacing="1"/>
            </w:pPr>
            <w:r>
              <w:rPr>
                <w:color w:val="000000"/>
                <w:sz w:val="22"/>
              </w:rPr>
              <w:t>CDBG: $</w:t>
            </w:r>
          </w:p>
        </w:tc>
        <w:tc>
          <w:tcPr>
            <w:tcW w:w="1800" w:type="dxa"/>
            <w:vAlign w:val="center"/>
          </w:tcPr>
          <w:p w14:paraId="50DA9BE8" w14:textId="77777777" w:rsidR="00555B2B" w:rsidRDefault="0058077A">
            <w:pPr>
              <w:spacing w:beforeAutospacing="1" w:afterAutospacing="1"/>
            </w:pPr>
            <w:r>
              <w:rPr>
                <w:color w:val="000000"/>
                <w:sz w:val="22"/>
              </w:rPr>
              <w:t>Other</w:t>
            </w:r>
          </w:p>
        </w:tc>
        <w:tc>
          <w:tcPr>
            <w:tcW w:w="1075" w:type="dxa"/>
            <w:vAlign w:val="center"/>
          </w:tcPr>
          <w:p w14:paraId="6D9BF104" w14:textId="77777777" w:rsidR="00555B2B" w:rsidRDefault="0058077A">
            <w:pPr>
              <w:spacing w:beforeAutospacing="1" w:afterAutospacing="1"/>
            </w:pPr>
            <w:r>
              <w:rPr>
                <w:color w:val="000000"/>
                <w:sz w:val="22"/>
              </w:rPr>
              <w:t>Other</w:t>
            </w:r>
          </w:p>
        </w:tc>
        <w:tc>
          <w:tcPr>
            <w:tcW w:w="975" w:type="dxa"/>
            <w:vAlign w:val="center"/>
          </w:tcPr>
          <w:p w14:paraId="127A0936" w14:textId="77777777" w:rsidR="00555B2B" w:rsidRDefault="0058077A">
            <w:pPr>
              <w:spacing w:beforeAutospacing="1" w:afterAutospacing="1"/>
            </w:pPr>
            <w:r>
              <w:rPr>
                <w:color w:val="000000"/>
                <w:sz w:val="22"/>
              </w:rPr>
              <w:t>0</w:t>
            </w:r>
          </w:p>
        </w:tc>
        <w:tc>
          <w:tcPr>
            <w:tcW w:w="948" w:type="dxa"/>
            <w:vAlign w:val="center"/>
          </w:tcPr>
          <w:p w14:paraId="6EC01FAD" w14:textId="77777777" w:rsidR="00555B2B" w:rsidRDefault="0058077A">
            <w:pPr>
              <w:spacing w:beforeAutospacing="1" w:afterAutospacing="1"/>
            </w:pPr>
            <w:r>
              <w:rPr>
                <w:color w:val="000000"/>
                <w:sz w:val="22"/>
              </w:rPr>
              <w:t>0</w:t>
            </w:r>
          </w:p>
        </w:tc>
        <w:tc>
          <w:tcPr>
            <w:tcW w:w="1020" w:type="dxa"/>
            <w:vAlign w:val="center"/>
          </w:tcPr>
          <w:p w14:paraId="5B8C1F7D" w14:textId="77777777" w:rsidR="00555B2B" w:rsidRDefault="0058077A">
            <w:pPr>
              <w:spacing w:beforeAutospacing="1" w:afterAutospacing="1"/>
            </w:pPr>
            <w:r>
              <w:rPr>
                <w:color w:val="000000"/>
                <w:sz w:val="22"/>
              </w:rPr>
              <w:t xml:space="preserve"> </w:t>
            </w:r>
          </w:p>
        </w:tc>
        <w:tc>
          <w:tcPr>
            <w:tcW w:w="975" w:type="dxa"/>
            <w:vAlign w:val="center"/>
          </w:tcPr>
          <w:p w14:paraId="29A0F121" w14:textId="77777777" w:rsidR="00555B2B" w:rsidRDefault="0058077A">
            <w:pPr>
              <w:spacing w:beforeAutospacing="1" w:afterAutospacing="1"/>
            </w:pPr>
            <w:r>
              <w:rPr>
                <w:color w:val="000000"/>
                <w:sz w:val="22"/>
              </w:rPr>
              <w:t xml:space="preserve"> </w:t>
            </w:r>
          </w:p>
        </w:tc>
        <w:tc>
          <w:tcPr>
            <w:tcW w:w="1847" w:type="dxa"/>
            <w:vAlign w:val="center"/>
          </w:tcPr>
          <w:p w14:paraId="1E4F35FD" w14:textId="77777777" w:rsidR="00555B2B" w:rsidRDefault="0058077A">
            <w:pPr>
              <w:spacing w:beforeAutospacing="1" w:afterAutospacing="1"/>
            </w:pPr>
            <w:r>
              <w:rPr>
                <w:color w:val="000000"/>
                <w:sz w:val="22"/>
              </w:rPr>
              <w:t xml:space="preserve"> </w:t>
            </w:r>
          </w:p>
        </w:tc>
        <w:tc>
          <w:tcPr>
            <w:tcW w:w="2070" w:type="dxa"/>
            <w:vAlign w:val="center"/>
          </w:tcPr>
          <w:p w14:paraId="5FD6EAD3" w14:textId="77777777" w:rsidR="00555B2B" w:rsidRDefault="0058077A">
            <w:pPr>
              <w:spacing w:beforeAutospacing="1" w:afterAutospacing="1"/>
            </w:pPr>
            <w:r>
              <w:rPr>
                <w:color w:val="000000"/>
                <w:sz w:val="22"/>
              </w:rPr>
              <w:t xml:space="preserve"> </w:t>
            </w:r>
          </w:p>
        </w:tc>
      </w:tr>
      <w:tr w:rsidR="00555B2B" w14:paraId="57607EC9" w14:textId="77777777" w:rsidTr="00066316">
        <w:trPr>
          <w:cantSplit/>
        </w:trPr>
        <w:tc>
          <w:tcPr>
            <w:tcW w:w="1440" w:type="dxa"/>
            <w:vAlign w:val="center"/>
          </w:tcPr>
          <w:p w14:paraId="143DE975" w14:textId="77777777" w:rsidR="00555B2B" w:rsidRDefault="0058077A">
            <w:pPr>
              <w:spacing w:beforeAutospacing="1" w:afterAutospacing="1"/>
            </w:pPr>
            <w:r>
              <w:rPr>
                <w:color w:val="000000"/>
                <w:sz w:val="22"/>
              </w:rPr>
              <w:t>Site Development</w:t>
            </w:r>
          </w:p>
        </w:tc>
        <w:tc>
          <w:tcPr>
            <w:tcW w:w="1549" w:type="dxa"/>
            <w:vAlign w:val="center"/>
          </w:tcPr>
          <w:p w14:paraId="2631ED32" w14:textId="77777777" w:rsidR="00555B2B" w:rsidRDefault="0058077A">
            <w:pPr>
              <w:spacing w:beforeAutospacing="1" w:afterAutospacing="1"/>
            </w:pPr>
            <w:r>
              <w:rPr>
                <w:color w:val="000000"/>
                <w:sz w:val="22"/>
              </w:rPr>
              <w:t>Non-Housing Community Development</w:t>
            </w:r>
          </w:p>
        </w:tc>
        <w:tc>
          <w:tcPr>
            <w:tcW w:w="1241" w:type="dxa"/>
            <w:vAlign w:val="center"/>
          </w:tcPr>
          <w:p w14:paraId="646559C6" w14:textId="77777777" w:rsidR="00555B2B" w:rsidRDefault="0058077A">
            <w:pPr>
              <w:spacing w:beforeAutospacing="1" w:afterAutospacing="1"/>
            </w:pPr>
            <w:r>
              <w:rPr>
                <w:color w:val="000000"/>
                <w:sz w:val="22"/>
              </w:rPr>
              <w:t>CDBG: $</w:t>
            </w:r>
          </w:p>
        </w:tc>
        <w:tc>
          <w:tcPr>
            <w:tcW w:w="1800" w:type="dxa"/>
            <w:vAlign w:val="center"/>
          </w:tcPr>
          <w:p w14:paraId="1F31ED21" w14:textId="77777777" w:rsidR="00555B2B" w:rsidRDefault="0058077A">
            <w:pPr>
              <w:spacing w:beforeAutospacing="1" w:afterAutospacing="1"/>
            </w:pPr>
            <w:r>
              <w:rPr>
                <w:color w:val="000000"/>
                <w:sz w:val="22"/>
              </w:rPr>
              <w:t>Public Facility or Infrastructure Activities for Low/Moderate Income Housing Benefit</w:t>
            </w:r>
          </w:p>
        </w:tc>
        <w:tc>
          <w:tcPr>
            <w:tcW w:w="1075" w:type="dxa"/>
            <w:vAlign w:val="center"/>
          </w:tcPr>
          <w:p w14:paraId="5962C98D" w14:textId="77777777" w:rsidR="00555B2B" w:rsidRDefault="0058077A">
            <w:pPr>
              <w:spacing w:beforeAutospacing="1" w:afterAutospacing="1"/>
            </w:pPr>
            <w:r>
              <w:rPr>
                <w:color w:val="000000"/>
                <w:sz w:val="22"/>
              </w:rPr>
              <w:t>Households Assisted</w:t>
            </w:r>
          </w:p>
        </w:tc>
        <w:tc>
          <w:tcPr>
            <w:tcW w:w="975" w:type="dxa"/>
            <w:vAlign w:val="center"/>
          </w:tcPr>
          <w:p w14:paraId="3DDB19C3" w14:textId="77777777" w:rsidR="00555B2B" w:rsidRDefault="0058077A">
            <w:pPr>
              <w:spacing w:beforeAutospacing="1" w:afterAutospacing="1"/>
            </w:pPr>
            <w:r>
              <w:rPr>
                <w:color w:val="000000"/>
                <w:sz w:val="22"/>
              </w:rPr>
              <w:t>10</w:t>
            </w:r>
          </w:p>
        </w:tc>
        <w:tc>
          <w:tcPr>
            <w:tcW w:w="948" w:type="dxa"/>
            <w:vAlign w:val="center"/>
          </w:tcPr>
          <w:p w14:paraId="19782B21" w14:textId="77777777" w:rsidR="00555B2B" w:rsidRDefault="0058077A" w:rsidP="00066316">
            <w:pPr>
              <w:spacing w:before="100" w:beforeAutospacing="1" w:after="100" w:afterAutospacing="1"/>
            </w:pPr>
            <w:r>
              <w:rPr>
                <w:color w:val="000000"/>
                <w:sz w:val="22"/>
              </w:rPr>
              <w:t>0</w:t>
            </w:r>
          </w:p>
        </w:tc>
        <w:tc>
          <w:tcPr>
            <w:tcW w:w="1020" w:type="dxa"/>
            <w:vAlign w:val="center"/>
          </w:tcPr>
          <w:p w14:paraId="321B49EF" w14:textId="77777777" w:rsidR="00555B2B" w:rsidRDefault="0058077A">
            <w:pPr>
              <w:spacing w:beforeAutospacing="1" w:afterAutospacing="1"/>
            </w:pPr>
            <w:r>
              <w:rPr>
                <w:color w:val="000000"/>
                <w:sz w:val="22"/>
              </w:rPr>
              <w:t xml:space="preserve">         0.00%</w:t>
            </w:r>
          </w:p>
        </w:tc>
        <w:tc>
          <w:tcPr>
            <w:tcW w:w="975" w:type="dxa"/>
            <w:vAlign w:val="center"/>
          </w:tcPr>
          <w:p w14:paraId="5BF03176" w14:textId="77777777" w:rsidR="00555B2B" w:rsidRDefault="0058077A">
            <w:pPr>
              <w:spacing w:beforeAutospacing="1" w:afterAutospacing="1"/>
            </w:pPr>
            <w:r>
              <w:rPr>
                <w:color w:val="000000"/>
                <w:sz w:val="22"/>
              </w:rPr>
              <w:t>1</w:t>
            </w:r>
          </w:p>
        </w:tc>
        <w:tc>
          <w:tcPr>
            <w:tcW w:w="1847" w:type="dxa"/>
            <w:vAlign w:val="center"/>
          </w:tcPr>
          <w:p w14:paraId="28A65B54" w14:textId="77777777" w:rsidR="00555B2B" w:rsidRDefault="0058077A">
            <w:pPr>
              <w:spacing w:beforeAutospacing="1" w:afterAutospacing="1"/>
            </w:pPr>
            <w:r>
              <w:rPr>
                <w:color w:val="000000"/>
                <w:sz w:val="22"/>
              </w:rPr>
              <w:t>0</w:t>
            </w:r>
          </w:p>
        </w:tc>
        <w:tc>
          <w:tcPr>
            <w:tcW w:w="2070" w:type="dxa"/>
            <w:vAlign w:val="center"/>
          </w:tcPr>
          <w:p w14:paraId="110A68BB" w14:textId="77777777" w:rsidR="00555B2B" w:rsidRDefault="0058077A">
            <w:pPr>
              <w:spacing w:beforeAutospacing="1" w:afterAutospacing="1"/>
            </w:pPr>
            <w:r>
              <w:rPr>
                <w:color w:val="000000"/>
                <w:sz w:val="22"/>
              </w:rPr>
              <w:t xml:space="preserve">         0.00%</w:t>
            </w:r>
          </w:p>
        </w:tc>
      </w:tr>
      <w:tr w:rsidR="00555B2B" w14:paraId="4A4FDEF2" w14:textId="77777777" w:rsidTr="00066316">
        <w:trPr>
          <w:cantSplit/>
        </w:trPr>
        <w:tc>
          <w:tcPr>
            <w:tcW w:w="1440" w:type="dxa"/>
            <w:vAlign w:val="center"/>
          </w:tcPr>
          <w:p w14:paraId="2BECCF58" w14:textId="77777777" w:rsidR="00555B2B" w:rsidRDefault="0058077A">
            <w:pPr>
              <w:spacing w:beforeAutospacing="1" w:afterAutospacing="1"/>
            </w:pPr>
            <w:r>
              <w:rPr>
                <w:color w:val="000000"/>
                <w:sz w:val="22"/>
              </w:rPr>
              <w:t>Small Business Education</w:t>
            </w:r>
          </w:p>
        </w:tc>
        <w:tc>
          <w:tcPr>
            <w:tcW w:w="1549" w:type="dxa"/>
            <w:vAlign w:val="center"/>
          </w:tcPr>
          <w:p w14:paraId="36DB3325" w14:textId="77777777" w:rsidR="00555B2B" w:rsidRDefault="0058077A">
            <w:pPr>
              <w:spacing w:beforeAutospacing="1" w:afterAutospacing="1"/>
            </w:pPr>
            <w:r>
              <w:rPr>
                <w:color w:val="000000"/>
                <w:sz w:val="22"/>
              </w:rPr>
              <w:t>Non-Housing Community Development</w:t>
            </w:r>
          </w:p>
        </w:tc>
        <w:tc>
          <w:tcPr>
            <w:tcW w:w="1241" w:type="dxa"/>
            <w:vAlign w:val="center"/>
          </w:tcPr>
          <w:p w14:paraId="1245D38F" w14:textId="77777777" w:rsidR="00555B2B" w:rsidRDefault="0058077A">
            <w:pPr>
              <w:spacing w:beforeAutospacing="1" w:afterAutospacing="1"/>
            </w:pPr>
            <w:r>
              <w:rPr>
                <w:color w:val="000000"/>
                <w:sz w:val="22"/>
              </w:rPr>
              <w:t>CDBG: $</w:t>
            </w:r>
          </w:p>
        </w:tc>
        <w:tc>
          <w:tcPr>
            <w:tcW w:w="1800" w:type="dxa"/>
            <w:vAlign w:val="center"/>
          </w:tcPr>
          <w:p w14:paraId="1BD1C282" w14:textId="77777777" w:rsidR="00555B2B" w:rsidRDefault="0058077A">
            <w:pPr>
              <w:spacing w:beforeAutospacing="1" w:afterAutospacing="1"/>
            </w:pPr>
            <w:r>
              <w:rPr>
                <w:color w:val="000000"/>
                <w:sz w:val="22"/>
              </w:rPr>
              <w:t>Businesses assisted</w:t>
            </w:r>
          </w:p>
        </w:tc>
        <w:tc>
          <w:tcPr>
            <w:tcW w:w="1075" w:type="dxa"/>
            <w:vAlign w:val="center"/>
          </w:tcPr>
          <w:p w14:paraId="591FB97C" w14:textId="77777777" w:rsidR="00555B2B" w:rsidRDefault="0058077A">
            <w:pPr>
              <w:spacing w:beforeAutospacing="1" w:afterAutospacing="1"/>
            </w:pPr>
            <w:r>
              <w:rPr>
                <w:color w:val="000000"/>
                <w:sz w:val="22"/>
              </w:rPr>
              <w:t>Businesses Assisted</w:t>
            </w:r>
          </w:p>
        </w:tc>
        <w:tc>
          <w:tcPr>
            <w:tcW w:w="975" w:type="dxa"/>
            <w:vAlign w:val="center"/>
          </w:tcPr>
          <w:p w14:paraId="311BB618" w14:textId="77777777" w:rsidR="00555B2B" w:rsidRDefault="0058077A">
            <w:pPr>
              <w:spacing w:beforeAutospacing="1" w:afterAutospacing="1"/>
            </w:pPr>
            <w:r>
              <w:rPr>
                <w:color w:val="000000"/>
                <w:sz w:val="22"/>
              </w:rPr>
              <w:t>10</w:t>
            </w:r>
          </w:p>
        </w:tc>
        <w:tc>
          <w:tcPr>
            <w:tcW w:w="948" w:type="dxa"/>
            <w:vAlign w:val="center"/>
          </w:tcPr>
          <w:p w14:paraId="0F258DB7" w14:textId="77777777" w:rsidR="00555B2B" w:rsidRDefault="0058077A">
            <w:pPr>
              <w:spacing w:beforeAutospacing="1" w:afterAutospacing="1"/>
            </w:pPr>
            <w:r>
              <w:rPr>
                <w:color w:val="000000"/>
                <w:sz w:val="22"/>
              </w:rPr>
              <w:t>0</w:t>
            </w:r>
          </w:p>
        </w:tc>
        <w:tc>
          <w:tcPr>
            <w:tcW w:w="1020" w:type="dxa"/>
            <w:vAlign w:val="center"/>
          </w:tcPr>
          <w:p w14:paraId="2EBA5489" w14:textId="77777777" w:rsidR="00555B2B" w:rsidRDefault="0058077A">
            <w:pPr>
              <w:spacing w:beforeAutospacing="1" w:afterAutospacing="1"/>
            </w:pPr>
            <w:r>
              <w:rPr>
                <w:color w:val="000000"/>
                <w:sz w:val="22"/>
              </w:rPr>
              <w:t xml:space="preserve">         0.00%</w:t>
            </w:r>
          </w:p>
        </w:tc>
        <w:tc>
          <w:tcPr>
            <w:tcW w:w="975" w:type="dxa"/>
            <w:vAlign w:val="center"/>
          </w:tcPr>
          <w:p w14:paraId="3D49E84E" w14:textId="77777777" w:rsidR="00555B2B" w:rsidRDefault="0058077A">
            <w:pPr>
              <w:spacing w:beforeAutospacing="1" w:afterAutospacing="1"/>
            </w:pPr>
            <w:r>
              <w:rPr>
                <w:color w:val="000000"/>
                <w:sz w:val="22"/>
              </w:rPr>
              <w:t xml:space="preserve"> </w:t>
            </w:r>
          </w:p>
        </w:tc>
        <w:tc>
          <w:tcPr>
            <w:tcW w:w="1847" w:type="dxa"/>
            <w:vAlign w:val="center"/>
          </w:tcPr>
          <w:p w14:paraId="5761DEB0" w14:textId="77777777" w:rsidR="00555B2B" w:rsidRDefault="0058077A">
            <w:pPr>
              <w:spacing w:beforeAutospacing="1" w:afterAutospacing="1"/>
            </w:pPr>
            <w:r>
              <w:rPr>
                <w:color w:val="000000"/>
                <w:sz w:val="22"/>
              </w:rPr>
              <w:t xml:space="preserve"> </w:t>
            </w:r>
          </w:p>
        </w:tc>
        <w:tc>
          <w:tcPr>
            <w:tcW w:w="2070" w:type="dxa"/>
            <w:vAlign w:val="center"/>
          </w:tcPr>
          <w:p w14:paraId="60A8E46C" w14:textId="77777777" w:rsidR="00555B2B" w:rsidRDefault="0058077A">
            <w:pPr>
              <w:spacing w:beforeAutospacing="1" w:afterAutospacing="1"/>
            </w:pPr>
            <w:r>
              <w:rPr>
                <w:color w:val="000000"/>
                <w:sz w:val="22"/>
              </w:rPr>
              <w:t xml:space="preserve"> </w:t>
            </w:r>
          </w:p>
        </w:tc>
      </w:tr>
      <w:tr w:rsidR="00555B2B" w14:paraId="23FB5780" w14:textId="77777777" w:rsidTr="00066316">
        <w:trPr>
          <w:cantSplit/>
        </w:trPr>
        <w:tc>
          <w:tcPr>
            <w:tcW w:w="1440" w:type="dxa"/>
            <w:vAlign w:val="center"/>
          </w:tcPr>
          <w:p w14:paraId="7528D057" w14:textId="77777777" w:rsidR="00555B2B" w:rsidRDefault="0058077A">
            <w:pPr>
              <w:spacing w:beforeAutospacing="1" w:afterAutospacing="1"/>
            </w:pPr>
            <w:r>
              <w:rPr>
                <w:color w:val="000000"/>
                <w:sz w:val="22"/>
              </w:rPr>
              <w:t>Small Business Loan Fund</w:t>
            </w:r>
          </w:p>
        </w:tc>
        <w:tc>
          <w:tcPr>
            <w:tcW w:w="1549" w:type="dxa"/>
            <w:vAlign w:val="center"/>
          </w:tcPr>
          <w:p w14:paraId="39CD7F0F" w14:textId="77777777" w:rsidR="00555B2B" w:rsidRDefault="0058077A">
            <w:pPr>
              <w:spacing w:beforeAutospacing="1" w:afterAutospacing="1"/>
            </w:pPr>
            <w:r>
              <w:rPr>
                <w:color w:val="000000"/>
                <w:sz w:val="22"/>
              </w:rPr>
              <w:t>Small business loan program</w:t>
            </w:r>
          </w:p>
        </w:tc>
        <w:tc>
          <w:tcPr>
            <w:tcW w:w="1241" w:type="dxa"/>
            <w:vAlign w:val="center"/>
          </w:tcPr>
          <w:p w14:paraId="1B903A31" w14:textId="77777777" w:rsidR="00555B2B" w:rsidRDefault="0058077A">
            <w:pPr>
              <w:spacing w:beforeAutospacing="1" w:afterAutospacing="1"/>
            </w:pPr>
            <w:r>
              <w:rPr>
                <w:color w:val="000000"/>
                <w:sz w:val="22"/>
              </w:rPr>
              <w:t>CDBG: $</w:t>
            </w:r>
          </w:p>
        </w:tc>
        <w:tc>
          <w:tcPr>
            <w:tcW w:w="1800" w:type="dxa"/>
            <w:vAlign w:val="center"/>
          </w:tcPr>
          <w:p w14:paraId="0715382E" w14:textId="77777777" w:rsidR="00555B2B" w:rsidRDefault="0058077A">
            <w:pPr>
              <w:spacing w:beforeAutospacing="1" w:afterAutospacing="1"/>
            </w:pPr>
            <w:r>
              <w:rPr>
                <w:color w:val="000000"/>
                <w:sz w:val="22"/>
              </w:rPr>
              <w:t>Businesses assisted</w:t>
            </w:r>
          </w:p>
        </w:tc>
        <w:tc>
          <w:tcPr>
            <w:tcW w:w="1075" w:type="dxa"/>
            <w:vAlign w:val="center"/>
          </w:tcPr>
          <w:p w14:paraId="5418F009" w14:textId="77777777" w:rsidR="00555B2B" w:rsidRDefault="0058077A">
            <w:pPr>
              <w:spacing w:beforeAutospacing="1" w:afterAutospacing="1"/>
            </w:pPr>
            <w:r>
              <w:rPr>
                <w:color w:val="000000"/>
                <w:sz w:val="22"/>
              </w:rPr>
              <w:t>Businesses Assisted</w:t>
            </w:r>
          </w:p>
        </w:tc>
        <w:tc>
          <w:tcPr>
            <w:tcW w:w="975" w:type="dxa"/>
            <w:vAlign w:val="center"/>
          </w:tcPr>
          <w:p w14:paraId="5BBD735E" w14:textId="77777777" w:rsidR="00555B2B" w:rsidRDefault="0058077A">
            <w:pPr>
              <w:spacing w:beforeAutospacing="1" w:afterAutospacing="1"/>
            </w:pPr>
            <w:r>
              <w:rPr>
                <w:color w:val="000000"/>
                <w:sz w:val="22"/>
              </w:rPr>
              <w:t>10</w:t>
            </w:r>
          </w:p>
        </w:tc>
        <w:tc>
          <w:tcPr>
            <w:tcW w:w="948" w:type="dxa"/>
            <w:vAlign w:val="center"/>
          </w:tcPr>
          <w:p w14:paraId="0DFFBEC9" w14:textId="77777777" w:rsidR="00555B2B" w:rsidRDefault="0058077A">
            <w:pPr>
              <w:spacing w:beforeAutospacing="1" w:afterAutospacing="1"/>
            </w:pPr>
            <w:r>
              <w:rPr>
                <w:color w:val="000000"/>
                <w:sz w:val="22"/>
              </w:rPr>
              <w:t>0</w:t>
            </w:r>
          </w:p>
        </w:tc>
        <w:tc>
          <w:tcPr>
            <w:tcW w:w="1020" w:type="dxa"/>
            <w:vAlign w:val="center"/>
          </w:tcPr>
          <w:p w14:paraId="2746CC22" w14:textId="77777777" w:rsidR="00555B2B" w:rsidRDefault="0058077A">
            <w:pPr>
              <w:spacing w:beforeAutospacing="1" w:afterAutospacing="1"/>
            </w:pPr>
            <w:r>
              <w:rPr>
                <w:color w:val="000000"/>
                <w:sz w:val="22"/>
              </w:rPr>
              <w:t xml:space="preserve">         0.00%</w:t>
            </w:r>
          </w:p>
        </w:tc>
        <w:tc>
          <w:tcPr>
            <w:tcW w:w="975" w:type="dxa"/>
            <w:vAlign w:val="center"/>
          </w:tcPr>
          <w:p w14:paraId="62120725" w14:textId="77777777" w:rsidR="00555B2B" w:rsidRDefault="0058077A">
            <w:pPr>
              <w:spacing w:beforeAutospacing="1" w:afterAutospacing="1"/>
            </w:pPr>
            <w:r>
              <w:rPr>
                <w:color w:val="000000"/>
                <w:sz w:val="22"/>
              </w:rPr>
              <w:t xml:space="preserve"> </w:t>
            </w:r>
          </w:p>
        </w:tc>
        <w:tc>
          <w:tcPr>
            <w:tcW w:w="1847" w:type="dxa"/>
            <w:vAlign w:val="center"/>
          </w:tcPr>
          <w:p w14:paraId="68A90BA1" w14:textId="77777777" w:rsidR="00555B2B" w:rsidRDefault="0058077A">
            <w:pPr>
              <w:spacing w:beforeAutospacing="1" w:afterAutospacing="1"/>
            </w:pPr>
            <w:r>
              <w:rPr>
                <w:color w:val="000000"/>
                <w:sz w:val="22"/>
              </w:rPr>
              <w:t xml:space="preserve"> </w:t>
            </w:r>
          </w:p>
        </w:tc>
        <w:tc>
          <w:tcPr>
            <w:tcW w:w="2070" w:type="dxa"/>
            <w:vAlign w:val="center"/>
          </w:tcPr>
          <w:p w14:paraId="382FFCA0" w14:textId="77777777" w:rsidR="00555B2B" w:rsidRDefault="0058077A">
            <w:pPr>
              <w:spacing w:beforeAutospacing="1" w:afterAutospacing="1"/>
            </w:pPr>
            <w:r>
              <w:rPr>
                <w:color w:val="000000"/>
                <w:sz w:val="22"/>
              </w:rPr>
              <w:t xml:space="preserve"> </w:t>
            </w:r>
          </w:p>
        </w:tc>
      </w:tr>
      <w:tr w:rsidR="00555B2B" w14:paraId="37E6C7CC" w14:textId="77777777" w:rsidTr="00066316">
        <w:trPr>
          <w:cantSplit/>
        </w:trPr>
        <w:tc>
          <w:tcPr>
            <w:tcW w:w="1440" w:type="dxa"/>
            <w:vAlign w:val="center"/>
          </w:tcPr>
          <w:p w14:paraId="7C588703" w14:textId="77777777" w:rsidR="00555B2B" w:rsidRDefault="0058077A">
            <w:pPr>
              <w:spacing w:beforeAutospacing="1" w:afterAutospacing="1"/>
            </w:pPr>
            <w:r>
              <w:rPr>
                <w:color w:val="000000"/>
                <w:sz w:val="22"/>
              </w:rPr>
              <w:t>Substance Abuse</w:t>
            </w:r>
          </w:p>
        </w:tc>
        <w:tc>
          <w:tcPr>
            <w:tcW w:w="1549" w:type="dxa"/>
            <w:vAlign w:val="center"/>
          </w:tcPr>
          <w:p w14:paraId="6B408329" w14:textId="77777777" w:rsidR="00555B2B" w:rsidRDefault="0058077A">
            <w:pPr>
              <w:spacing w:beforeAutospacing="1" w:afterAutospacing="1"/>
            </w:pPr>
            <w:r>
              <w:rPr>
                <w:color w:val="000000"/>
                <w:sz w:val="22"/>
              </w:rPr>
              <w:t>Non-Housing Community Development</w:t>
            </w:r>
          </w:p>
        </w:tc>
        <w:tc>
          <w:tcPr>
            <w:tcW w:w="1241" w:type="dxa"/>
            <w:vAlign w:val="center"/>
          </w:tcPr>
          <w:p w14:paraId="24F4AC84" w14:textId="77777777" w:rsidR="00555B2B" w:rsidRDefault="0058077A">
            <w:pPr>
              <w:spacing w:beforeAutospacing="1" w:afterAutospacing="1"/>
            </w:pPr>
            <w:r>
              <w:rPr>
                <w:color w:val="000000"/>
                <w:sz w:val="22"/>
              </w:rPr>
              <w:t>CDBG: $</w:t>
            </w:r>
          </w:p>
        </w:tc>
        <w:tc>
          <w:tcPr>
            <w:tcW w:w="1800" w:type="dxa"/>
            <w:vAlign w:val="center"/>
          </w:tcPr>
          <w:p w14:paraId="598AF7BA" w14:textId="77777777" w:rsidR="00555B2B" w:rsidRDefault="0058077A">
            <w:pPr>
              <w:spacing w:beforeAutospacing="1" w:afterAutospacing="1"/>
            </w:pPr>
            <w:r>
              <w:rPr>
                <w:color w:val="000000"/>
                <w:sz w:val="22"/>
              </w:rPr>
              <w:t>Public service activities other than Low/Moderate Income Housing Benefit</w:t>
            </w:r>
          </w:p>
        </w:tc>
        <w:tc>
          <w:tcPr>
            <w:tcW w:w="1075" w:type="dxa"/>
            <w:vAlign w:val="center"/>
          </w:tcPr>
          <w:p w14:paraId="434E881E" w14:textId="77777777" w:rsidR="00555B2B" w:rsidRDefault="0058077A">
            <w:pPr>
              <w:spacing w:beforeAutospacing="1" w:afterAutospacing="1"/>
            </w:pPr>
            <w:r>
              <w:rPr>
                <w:color w:val="000000"/>
                <w:sz w:val="22"/>
              </w:rPr>
              <w:t>Persons Assisted</w:t>
            </w:r>
          </w:p>
        </w:tc>
        <w:tc>
          <w:tcPr>
            <w:tcW w:w="975" w:type="dxa"/>
            <w:vAlign w:val="center"/>
          </w:tcPr>
          <w:p w14:paraId="36C8AFCE" w14:textId="77777777" w:rsidR="00555B2B" w:rsidRDefault="0058077A">
            <w:pPr>
              <w:spacing w:beforeAutospacing="1" w:afterAutospacing="1"/>
            </w:pPr>
            <w:r>
              <w:rPr>
                <w:color w:val="000000"/>
                <w:sz w:val="22"/>
              </w:rPr>
              <w:t>150</w:t>
            </w:r>
          </w:p>
        </w:tc>
        <w:tc>
          <w:tcPr>
            <w:tcW w:w="948" w:type="dxa"/>
            <w:vAlign w:val="center"/>
          </w:tcPr>
          <w:p w14:paraId="4C0D418F" w14:textId="77777777" w:rsidR="00555B2B" w:rsidRDefault="0058077A">
            <w:pPr>
              <w:spacing w:beforeAutospacing="1" w:afterAutospacing="1"/>
            </w:pPr>
            <w:r>
              <w:rPr>
                <w:color w:val="000000"/>
                <w:sz w:val="22"/>
              </w:rPr>
              <w:t>48</w:t>
            </w:r>
          </w:p>
        </w:tc>
        <w:tc>
          <w:tcPr>
            <w:tcW w:w="1020" w:type="dxa"/>
            <w:vAlign w:val="center"/>
          </w:tcPr>
          <w:p w14:paraId="3398EEFB" w14:textId="77777777" w:rsidR="00555B2B" w:rsidRDefault="0058077A">
            <w:pPr>
              <w:spacing w:beforeAutospacing="1" w:afterAutospacing="1"/>
            </w:pPr>
            <w:r>
              <w:rPr>
                <w:color w:val="000000"/>
                <w:sz w:val="22"/>
              </w:rPr>
              <w:t xml:space="preserve">        32.00%</w:t>
            </w:r>
          </w:p>
        </w:tc>
        <w:tc>
          <w:tcPr>
            <w:tcW w:w="975" w:type="dxa"/>
            <w:vAlign w:val="center"/>
          </w:tcPr>
          <w:p w14:paraId="0D14D978" w14:textId="77777777" w:rsidR="00555B2B" w:rsidRDefault="0058077A">
            <w:pPr>
              <w:spacing w:beforeAutospacing="1" w:afterAutospacing="1"/>
            </w:pPr>
            <w:r>
              <w:rPr>
                <w:color w:val="000000"/>
                <w:sz w:val="22"/>
              </w:rPr>
              <w:t xml:space="preserve"> </w:t>
            </w:r>
          </w:p>
        </w:tc>
        <w:tc>
          <w:tcPr>
            <w:tcW w:w="1847" w:type="dxa"/>
            <w:vAlign w:val="center"/>
          </w:tcPr>
          <w:p w14:paraId="73E7929A" w14:textId="77777777" w:rsidR="00555B2B" w:rsidRDefault="0058077A">
            <w:pPr>
              <w:spacing w:beforeAutospacing="1" w:afterAutospacing="1"/>
            </w:pPr>
            <w:r>
              <w:rPr>
                <w:color w:val="000000"/>
                <w:sz w:val="22"/>
              </w:rPr>
              <w:t xml:space="preserve"> </w:t>
            </w:r>
          </w:p>
        </w:tc>
        <w:tc>
          <w:tcPr>
            <w:tcW w:w="2070" w:type="dxa"/>
            <w:vAlign w:val="center"/>
          </w:tcPr>
          <w:p w14:paraId="15F01F20" w14:textId="77777777" w:rsidR="00555B2B" w:rsidRDefault="0058077A">
            <w:pPr>
              <w:spacing w:beforeAutospacing="1" w:afterAutospacing="1"/>
            </w:pPr>
            <w:r>
              <w:rPr>
                <w:color w:val="000000"/>
                <w:sz w:val="22"/>
              </w:rPr>
              <w:t xml:space="preserve"> </w:t>
            </w:r>
          </w:p>
        </w:tc>
      </w:tr>
      <w:tr w:rsidR="00555B2B" w14:paraId="23E37A2A" w14:textId="77777777" w:rsidTr="00066316">
        <w:trPr>
          <w:cantSplit/>
        </w:trPr>
        <w:tc>
          <w:tcPr>
            <w:tcW w:w="1440" w:type="dxa"/>
            <w:vAlign w:val="center"/>
          </w:tcPr>
          <w:p w14:paraId="2B8BA74A" w14:textId="77777777" w:rsidR="00555B2B" w:rsidRDefault="0058077A">
            <w:pPr>
              <w:spacing w:beforeAutospacing="1" w:afterAutospacing="1"/>
            </w:pPr>
            <w:r>
              <w:rPr>
                <w:color w:val="000000"/>
                <w:sz w:val="22"/>
              </w:rPr>
              <w:t>Tenant-based Rental Assistance</w:t>
            </w:r>
          </w:p>
        </w:tc>
        <w:tc>
          <w:tcPr>
            <w:tcW w:w="1549" w:type="dxa"/>
            <w:vAlign w:val="center"/>
          </w:tcPr>
          <w:p w14:paraId="279D94FB" w14:textId="77777777" w:rsidR="00555B2B" w:rsidRDefault="0058077A">
            <w:pPr>
              <w:spacing w:beforeAutospacing="1" w:afterAutospacing="1"/>
            </w:pPr>
            <w:r>
              <w:rPr>
                <w:color w:val="000000"/>
                <w:sz w:val="22"/>
              </w:rPr>
              <w:t>Affordable Housing</w:t>
            </w:r>
          </w:p>
        </w:tc>
        <w:tc>
          <w:tcPr>
            <w:tcW w:w="1241" w:type="dxa"/>
            <w:vAlign w:val="center"/>
          </w:tcPr>
          <w:p w14:paraId="63692584" w14:textId="77777777" w:rsidR="00555B2B" w:rsidRDefault="0058077A">
            <w:pPr>
              <w:spacing w:beforeAutospacing="1" w:afterAutospacing="1"/>
            </w:pPr>
            <w:r>
              <w:rPr>
                <w:color w:val="000000"/>
                <w:sz w:val="22"/>
              </w:rPr>
              <w:t>CDBG: $ / HOME: $</w:t>
            </w:r>
          </w:p>
        </w:tc>
        <w:tc>
          <w:tcPr>
            <w:tcW w:w="1800" w:type="dxa"/>
            <w:vAlign w:val="center"/>
          </w:tcPr>
          <w:p w14:paraId="53D12BF8" w14:textId="77777777" w:rsidR="00555B2B" w:rsidRDefault="0058077A">
            <w:pPr>
              <w:spacing w:beforeAutospacing="1" w:afterAutospacing="1"/>
            </w:pPr>
            <w:r>
              <w:rPr>
                <w:color w:val="000000"/>
                <w:sz w:val="22"/>
              </w:rPr>
              <w:t>Tenant-based rental assistance / Rapid Rehousing</w:t>
            </w:r>
          </w:p>
        </w:tc>
        <w:tc>
          <w:tcPr>
            <w:tcW w:w="1075" w:type="dxa"/>
            <w:vAlign w:val="center"/>
          </w:tcPr>
          <w:p w14:paraId="1A909BF8" w14:textId="77777777" w:rsidR="00555B2B" w:rsidRDefault="0058077A">
            <w:pPr>
              <w:spacing w:beforeAutospacing="1" w:afterAutospacing="1"/>
            </w:pPr>
            <w:r>
              <w:rPr>
                <w:color w:val="000000"/>
                <w:sz w:val="22"/>
              </w:rPr>
              <w:t>Households Assisted</w:t>
            </w:r>
          </w:p>
        </w:tc>
        <w:tc>
          <w:tcPr>
            <w:tcW w:w="975" w:type="dxa"/>
            <w:vAlign w:val="center"/>
          </w:tcPr>
          <w:p w14:paraId="38BC2886" w14:textId="77777777" w:rsidR="00555B2B" w:rsidRDefault="0058077A">
            <w:pPr>
              <w:spacing w:beforeAutospacing="1" w:afterAutospacing="1"/>
            </w:pPr>
            <w:r>
              <w:rPr>
                <w:color w:val="000000"/>
                <w:sz w:val="22"/>
              </w:rPr>
              <w:t>75</w:t>
            </w:r>
          </w:p>
        </w:tc>
        <w:tc>
          <w:tcPr>
            <w:tcW w:w="948" w:type="dxa"/>
            <w:vAlign w:val="center"/>
          </w:tcPr>
          <w:p w14:paraId="256B75B2" w14:textId="77777777" w:rsidR="00555B2B" w:rsidRDefault="0058077A">
            <w:pPr>
              <w:spacing w:beforeAutospacing="1" w:afterAutospacing="1"/>
            </w:pPr>
            <w:r>
              <w:rPr>
                <w:color w:val="000000"/>
                <w:sz w:val="22"/>
              </w:rPr>
              <w:t>79</w:t>
            </w:r>
          </w:p>
        </w:tc>
        <w:tc>
          <w:tcPr>
            <w:tcW w:w="1020" w:type="dxa"/>
            <w:vAlign w:val="center"/>
          </w:tcPr>
          <w:p w14:paraId="268EFF6A" w14:textId="77777777" w:rsidR="00555B2B" w:rsidRDefault="0058077A">
            <w:pPr>
              <w:spacing w:beforeAutospacing="1" w:afterAutospacing="1"/>
            </w:pPr>
            <w:r>
              <w:rPr>
                <w:color w:val="000000"/>
                <w:sz w:val="22"/>
              </w:rPr>
              <w:t xml:space="preserve">       105.33%</w:t>
            </w:r>
          </w:p>
        </w:tc>
        <w:tc>
          <w:tcPr>
            <w:tcW w:w="975" w:type="dxa"/>
            <w:vAlign w:val="center"/>
          </w:tcPr>
          <w:p w14:paraId="56E93F80" w14:textId="77777777" w:rsidR="00555B2B" w:rsidRDefault="0058077A">
            <w:pPr>
              <w:spacing w:beforeAutospacing="1" w:afterAutospacing="1"/>
            </w:pPr>
            <w:r>
              <w:rPr>
                <w:color w:val="000000"/>
                <w:sz w:val="22"/>
              </w:rPr>
              <w:t>7</w:t>
            </w:r>
          </w:p>
        </w:tc>
        <w:tc>
          <w:tcPr>
            <w:tcW w:w="1847" w:type="dxa"/>
            <w:vAlign w:val="center"/>
          </w:tcPr>
          <w:p w14:paraId="4D3601F8" w14:textId="7AB8BA33" w:rsidR="00555B2B" w:rsidRDefault="0058077A" w:rsidP="0AF71021">
            <w:pPr>
              <w:spacing w:beforeAutospacing="1" w:afterAutospacing="1"/>
            </w:pPr>
            <w:r w:rsidRPr="0AF71021">
              <w:rPr>
                <w:color w:val="000000" w:themeColor="text1"/>
                <w:sz w:val="22"/>
                <w:szCs w:val="22"/>
              </w:rPr>
              <w:t>3</w:t>
            </w:r>
            <w:r w:rsidR="0246CF74" w:rsidRPr="0AF71021">
              <w:rPr>
                <w:color w:val="000000" w:themeColor="text1"/>
                <w:sz w:val="22"/>
                <w:szCs w:val="22"/>
              </w:rPr>
              <w:t>8</w:t>
            </w:r>
          </w:p>
        </w:tc>
        <w:tc>
          <w:tcPr>
            <w:tcW w:w="2070" w:type="dxa"/>
            <w:vAlign w:val="center"/>
          </w:tcPr>
          <w:p w14:paraId="2BF65339" w14:textId="1BCC3083" w:rsidR="00555B2B" w:rsidRDefault="00555B2B" w:rsidP="3D87D998">
            <w:pPr>
              <w:spacing w:beforeAutospacing="1" w:afterAutospacing="1"/>
            </w:pPr>
          </w:p>
        </w:tc>
      </w:tr>
    </w:tbl>
    <w:p w14:paraId="68D26988"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w:t>
      </w:r>
      <w:r w:rsidRPr="0AF71021">
        <w:rPr>
          <w:rFonts w:asciiTheme="minorHAnsi" w:hAnsiTheme="minorHAnsi"/>
        </w:rPr>
        <w:fldChar w:fldCharType="end"/>
      </w:r>
      <w:r w:rsidRPr="0AF71021">
        <w:rPr>
          <w:rFonts w:asciiTheme="minorHAnsi" w:hAnsiTheme="minorHAnsi"/>
        </w:rPr>
        <w:t xml:space="preserve"> - Accomplishments – Program Year &amp; Strategic Plan to Date</w:t>
      </w:r>
    </w:p>
    <w:p w14:paraId="6B278329" w14:textId="77777777" w:rsidR="00555B2B" w:rsidRDefault="00555B2B"/>
    <w:p w14:paraId="65DFA64A" w14:textId="77777777" w:rsidR="00555B2B" w:rsidRDefault="00555B2B">
      <w:pPr>
        <w:spacing w:after="0" w:line="240" w:lineRule="auto"/>
      </w:pPr>
    </w:p>
    <w:p w14:paraId="4FFB6263" w14:textId="77777777" w:rsidR="00555B2B" w:rsidRDefault="0058077A">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14:paraId="79FA5351" w14:textId="29443FC6" w:rsidR="00555B2B" w:rsidRDefault="0058077A" w:rsidP="0AF71021">
      <w:pPr>
        <w:keepNext/>
        <w:widowControl w:val="0"/>
        <w:spacing w:beforeAutospacing="1" w:afterAutospacing="1"/>
      </w:pPr>
      <w:r>
        <w:t>Significant affordable housing and non-housing community development needs were incorporated into allocation priorities. Throughout the 202</w:t>
      </w:r>
      <w:r w:rsidR="1A02DCD8">
        <w:t>2</w:t>
      </w:r>
      <w:r>
        <w:t>-202</w:t>
      </w:r>
      <w:r w:rsidR="1A02DCD8">
        <w:t>3</w:t>
      </w:r>
      <w:r>
        <w:t xml:space="preserve"> program year, the City addressed:</w:t>
      </w:r>
    </w:p>
    <w:p w14:paraId="135B4516" w14:textId="12CC66BE" w:rsidR="00555B2B" w:rsidRDefault="0058077A" w:rsidP="0AF71021">
      <w:pPr>
        <w:keepNext/>
        <w:widowControl w:val="0"/>
        <w:numPr>
          <w:ilvl w:val="0"/>
          <w:numId w:val="4"/>
        </w:numPr>
        <w:spacing w:beforeAutospacing="1" w:afterAutospacing="1"/>
      </w:pPr>
      <w:r>
        <w:t>The preservation and rehabilitation of existing single-family homes through the City’s homeowner-occupied rehabilitation program and our partner, Grassroots Community Development roof repair program which primarily assist very</w:t>
      </w:r>
      <w:r w:rsidR="2D88E535">
        <w:t>-</w:t>
      </w:r>
      <w:r>
        <w:t>low, low</w:t>
      </w:r>
      <w:r w:rsidR="2D88E535">
        <w:t>-</w:t>
      </w:r>
      <w:r>
        <w:t>, mod</w:t>
      </w:r>
      <w:r w:rsidR="11E6C4C5">
        <w:t>erate</w:t>
      </w:r>
      <w:r>
        <w:t xml:space="preserve"> income families, the elderly, and handicapped;</w:t>
      </w:r>
    </w:p>
    <w:p w14:paraId="2F761DCE" w14:textId="77777777" w:rsidR="00555B2B" w:rsidRDefault="0058077A">
      <w:pPr>
        <w:keepNext/>
        <w:widowControl w:val="0"/>
        <w:numPr>
          <w:ilvl w:val="0"/>
          <w:numId w:val="4"/>
        </w:numPr>
        <w:spacing w:beforeAutospacing="1" w:afterAutospacing="1"/>
      </w:pPr>
      <w:r>
        <w:t>Homeownership and housing stock through the down payment assistance program and the development of new homes which target low- and moderate-income families, particularly for first-time homebuyers;</w:t>
      </w:r>
    </w:p>
    <w:p w14:paraId="6162463E" w14:textId="77777777" w:rsidR="00555B2B" w:rsidRDefault="0058077A">
      <w:pPr>
        <w:keepNext/>
        <w:widowControl w:val="0"/>
        <w:numPr>
          <w:ilvl w:val="0"/>
          <w:numId w:val="4"/>
        </w:numPr>
        <w:spacing w:beforeAutospacing="1" w:afterAutospacing="1"/>
      </w:pPr>
      <w:r>
        <w:t>Homelessness through the continuation of emergency shelter, transitional housing, and supportive services to the City’s homeless population to return families and individuals to independent living in permanent housing;</w:t>
      </w:r>
    </w:p>
    <w:p w14:paraId="122DB3A2" w14:textId="5AA903B0" w:rsidR="00555B2B" w:rsidRDefault="0058077A">
      <w:pPr>
        <w:keepNext/>
        <w:widowControl w:val="0"/>
        <w:numPr>
          <w:ilvl w:val="0"/>
          <w:numId w:val="4"/>
        </w:numPr>
        <w:spacing w:beforeAutospacing="1" w:afterAutospacing="1"/>
      </w:pPr>
      <w:r>
        <w:t>Improvement of access and ensuring equitable access to housing resources for persons with special needs;</w:t>
      </w:r>
    </w:p>
    <w:p w14:paraId="7E511208" w14:textId="27B02E47" w:rsidR="00555B2B" w:rsidRDefault="0058077A">
      <w:pPr>
        <w:keepNext/>
        <w:widowControl w:val="0"/>
        <w:numPr>
          <w:ilvl w:val="0"/>
          <w:numId w:val="4"/>
        </w:numPr>
        <w:spacing w:beforeAutospacing="1" w:afterAutospacing="1"/>
      </w:pPr>
      <w:r>
        <w:t xml:space="preserve">Preservation, provision and improvement of social and health services and accessibility to these services to the elderly, </w:t>
      </w:r>
      <w:r w:rsidR="00066316">
        <w:t>youth,</w:t>
      </w:r>
      <w:r>
        <w:t xml:space="preserve"> and families/persons with special </w:t>
      </w:r>
      <w:proofErr w:type="gramStart"/>
      <w:r>
        <w:t>needs;</w:t>
      </w:r>
      <w:proofErr w:type="gramEnd"/>
    </w:p>
    <w:p w14:paraId="072DC85A" w14:textId="64A09B5A" w:rsidR="00555B2B" w:rsidRDefault="0058077A">
      <w:pPr>
        <w:keepNext/>
        <w:widowControl w:val="0"/>
        <w:numPr>
          <w:ilvl w:val="0"/>
          <w:numId w:val="4"/>
        </w:numPr>
        <w:spacing w:beforeAutospacing="1" w:afterAutospacing="1"/>
      </w:pPr>
      <w:r>
        <w:t>Expansion of access to economic opportunities for low, low-mod income residents;</w:t>
      </w:r>
    </w:p>
    <w:p w14:paraId="7E849F53" w14:textId="7D8B76CE" w:rsidR="00555B2B" w:rsidRDefault="0058077A" w:rsidP="39DBECF2">
      <w:pPr>
        <w:keepNext/>
        <w:widowControl w:val="0"/>
        <w:spacing w:beforeAutospacing="1" w:afterAutospacing="1"/>
      </w:pPr>
      <w:r>
        <w:t xml:space="preserve">In addition to addressing "High Needs" priorities, the City continues to make available a significant portion of the federal grants to programs and activities that directly benefited low-income residents with affordable housing and health and human services needs. </w:t>
      </w:r>
    </w:p>
    <w:p w14:paraId="40E13575" w14:textId="11BB631B" w:rsidR="00555B2B" w:rsidRDefault="0058077A">
      <w:pPr>
        <w:keepNext/>
        <w:widowControl w:val="0"/>
        <w:spacing w:beforeAutospacing="1" w:afterAutospacing="1"/>
      </w:pPr>
      <w:r>
        <w:t xml:space="preserve">Additionally, the lack of funding to reduce gaps in services and duplication of effort amongst service providers has hindered the ability to provide effective and efficient services that meet the identified needs of low-income and special need populations. To address this issue, the City continues to evaluate and rank requests from organizations seeking public service funding. City staff and officials evaluated the requests for funding </w:t>
      </w:r>
      <w:proofErr w:type="gramStart"/>
      <w:r>
        <w:t>in regard to</w:t>
      </w:r>
      <w:proofErr w:type="gramEnd"/>
      <w:r>
        <w:t xml:space="preserve"> the organization’s capacity and ability to provide the service, the need and proposed use of the federal funds, the targeted population and numbers to be served, and the addressing of identified priority needs contained in the Consolidated Plan.</w:t>
      </w:r>
    </w:p>
    <w:p w14:paraId="1ACC8F1D" w14:textId="77777777" w:rsidR="00555B2B" w:rsidRDefault="00555B2B">
      <w:pPr>
        <w:keepNext/>
        <w:widowControl w:val="0"/>
        <w:spacing w:line="204" w:lineRule="auto"/>
        <w:rPr>
          <w:b/>
          <w:sz w:val="24"/>
          <w:szCs w:val="24"/>
        </w:rPr>
      </w:pPr>
    </w:p>
    <w:p w14:paraId="349B1B8F" w14:textId="77777777" w:rsidR="00555B2B" w:rsidRDefault="00555B2B">
      <w:pPr>
        <w:rPr>
          <w:b/>
          <w:i/>
          <w:sz w:val="26"/>
          <w:szCs w:val="26"/>
        </w:rPr>
        <w:sectPr w:rsidR="00555B2B" w:rsidSect="00066316">
          <w:pgSz w:w="15840" w:h="12240" w:orient="landscape" w:code="1"/>
          <w:pgMar w:top="1440" w:right="1440" w:bottom="1440" w:left="1440" w:header="720" w:footer="720" w:gutter="0"/>
          <w:cols w:space="720"/>
          <w:docGrid w:linePitch="360"/>
        </w:sectPr>
      </w:pPr>
    </w:p>
    <w:p w14:paraId="3D7D167D" w14:textId="77777777" w:rsidR="00555B2B" w:rsidRDefault="0058077A">
      <w:pPr>
        <w:pStyle w:val="Heading2"/>
        <w:rPr>
          <w:rFonts w:asciiTheme="minorHAnsi" w:hAnsiTheme="minorHAnsi"/>
          <w:i w:val="0"/>
        </w:rPr>
      </w:pPr>
      <w:bookmarkStart w:id="0" w:name="_Toc309810474"/>
      <w:r>
        <w:rPr>
          <w:rFonts w:asciiTheme="minorHAnsi" w:hAnsiTheme="minorHAnsi"/>
          <w:i w:val="0"/>
        </w:rPr>
        <w:t>CR-10 - Racial and Ethnic composition of families assisted</w:t>
      </w:r>
    </w:p>
    <w:p w14:paraId="02D49593" w14:textId="77777777" w:rsidR="00555B2B" w:rsidRDefault="31D429DA" w:rsidP="189EB430">
      <w:pPr>
        <w:keepNext/>
        <w:widowControl w:val="0"/>
        <w:rPr>
          <w:b/>
          <w:bCs/>
          <w:sz w:val="24"/>
          <w:szCs w:val="24"/>
        </w:rPr>
      </w:pPr>
      <w:r w:rsidRPr="189EB430">
        <w:rPr>
          <w:b/>
          <w:bCs/>
          <w:sz w:val="24"/>
          <w:szCs w:val="24"/>
        </w:rPr>
        <w:t xml:space="preserve">Describe the families assisted (including the racial and ethnic status of families assisted). 91.520(a) </w:t>
      </w: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80"/>
        <w:gridCol w:w="978"/>
        <w:gridCol w:w="1551"/>
      </w:tblGrid>
      <w:tr w:rsidR="00555B2B" w14:paraId="2CB83EBF" w14:textId="77777777" w:rsidTr="006251E8">
        <w:trPr>
          <w:cantSplit/>
          <w:trHeight w:val="300"/>
        </w:trPr>
        <w:tc>
          <w:tcPr>
            <w:tcW w:w="3381" w:type="pct"/>
          </w:tcPr>
          <w:p w14:paraId="5B6A3995" w14:textId="77777777" w:rsidR="00555B2B" w:rsidRDefault="00555B2B">
            <w:pPr>
              <w:spacing w:after="0"/>
              <w:rPr>
                <w:b/>
              </w:rPr>
            </w:pPr>
          </w:p>
        </w:tc>
        <w:tc>
          <w:tcPr>
            <w:tcW w:w="626" w:type="pct"/>
          </w:tcPr>
          <w:p w14:paraId="152FFC39" w14:textId="77777777" w:rsidR="00555B2B" w:rsidRDefault="0058077A">
            <w:pPr>
              <w:spacing w:after="0"/>
              <w:jc w:val="center"/>
              <w:rPr>
                <w:b/>
              </w:rPr>
            </w:pPr>
            <w:r>
              <w:rPr>
                <w:b/>
              </w:rPr>
              <w:t>CDBG</w:t>
            </w:r>
          </w:p>
        </w:tc>
        <w:tc>
          <w:tcPr>
            <w:tcW w:w="993" w:type="pct"/>
          </w:tcPr>
          <w:p w14:paraId="6CEBCA2E" w14:textId="77777777" w:rsidR="00555B2B" w:rsidRDefault="0058077A">
            <w:pPr>
              <w:spacing w:after="0"/>
              <w:jc w:val="center"/>
              <w:rPr>
                <w:b/>
              </w:rPr>
            </w:pPr>
            <w:r>
              <w:rPr>
                <w:b/>
              </w:rPr>
              <w:t>HOME</w:t>
            </w:r>
          </w:p>
        </w:tc>
      </w:tr>
      <w:tr w:rsidR="00555B2B" w14:paraId="3DAB46EC" w14:textId="77777777" w:rsidTr="006251E8">
        <w:trPr>
          <w:cantSplit/>
          <w:trHeight w:val="300"/>
        </w:trPr>
        <w:tc>
          <w:tcPr>
            <w:tcW w:w="3381" w:type="pct"/>
            <w:vAlign w:val="bottom"/>
          </w:tcPr>
          <w:p w14:paraId="334BFEED" w14:textId="77777777" w:rsidR="00555B2B" w:rsidRDefault="0058077A">
            <w:pPr>
              <w:spacing w:beforeAutospacing="1" w:afterAutospacing="1"/>
            </w:pPr>
            <w:r>
              <w:rPr>
                <w:color w:val="000000"/>
              </w:rPr>
              <w:t>White</w:t>
            </w:r>
          </w:p>
        </w:tc>
        <w:tc>
          <w:tcPr>
            <w:tcW w:w="626" w:type="pct"/>
            <w:vAlign w:val="bottom"/>
          </w:tcPr>
          <w:p w14:paraId="057FA643" w14:textId="0CCA8B30" w:rsidR="00555B2B" w:rsidRDefault="4127CF6D">
            <w:pPr>
              <w:spacing w:beforeAutospacing="1" w:afterAutospacing="1"/>
              <w:jc w:val="right"/>
              <w:rPr>
                <w:color w:val="000000" w:themeColor="text1"/>
              </w:rPr>
            </w:pPr>
            <w:r w:rsidRPr="189EB430">
              <w:rPr>
                <w:color w:val="000000" w:themeColor="text1"/>
              </w:rPr>
              <w:t>652</w:t>
            </w:r>
          </w:p>
        </w:tc>
        <w:tc>
          <w:tcPr>
            <w:tcW w:w="993" w:type="pct"/>
            <w:vAlign w:val="bottom"/>
          </w:tcPr>
          <w:p w14:paraId="0D1A1BDB" w14:textId="514A687C" w:rsidR="00555B2B" w:rsidRDefault="207A4206" w:rsidP="189EB430">
            <w:pPr>
              <w:spacing w:beforeAutospacing="1" w:afterAutospacing="1"/>
              <w:jc w:val="right"/>
            </w:pPr>
            <w:r w:rsidRPr="189EB430">
              <w:rPr>
                <w:color w:val="000000" w:themeColor="text1"/>
              </w:rPr>
              <w:t>31</w:t>
            </w:r>
          </w:p>
        </w:tc>
      </w:tr>
      <w:tr w:rsidR="00555B2B" w14:paraId="3DB60F37" w14:textId="77777777" w:rsidTr="006251E8">
        <w:trPr>
          <w:cantSplit/>
          <w:trHeight w:val="300"/>
        </w:trPr>
        <w:tc>
          <w:tcPr>
            <w:tcW w:w="3381" w:type="pct"/>
            <w:vAlign w:val="bottom"/>
          </w:tcPr>
          <w:p w14:paraId="6ECCA592" w14:textId="77777777" w:rsidR="00555B2B" w:rsidRDefault="0058077A">
            <w:pPr>
              <w:spacing w:beforeAutospacing="1" w:afterAutospacing="1"/>
            </w:pPr>
            <w:r>
              <w:rPr>
                <w:color w:val="000000"/>
              </w:rPr>
              <w:t>Black or African American</w:t>
            </w:r>
          </w:p>
        </w:tc>
        <w:tc>
          <w:tcPr>
            <w:tcW w:w="626" w:type="pct"/>
            <w:vAlign w:val="bottom"/>
          </w:tcPr>
          <w:p w14:paraId="3BF8CA13" w14:textId="62D65852" w:rsidR="00555B2B" w:rsidRDefault="2B49EECF">
            <w:pPr>
              <w:spacing w:beforeAutospacing="1" w:afterAutospacing="1"/>
              <w:jc w:val="right"/>
              <w:rPr>
                <w:color w:val="000000" w:themeColor="text1"/>
              </w:rPr>
            </w:pPr>
            <w:r w:rsidRPr="189EB430">
              <w:rPr>
                <w:color w:val="000000" w:themeColor="text1"/>
              </w:rPr>
              <w:t>391</w:t>
            </w:r>
          </w:p>
        </w:tc>
        <w:tc>
          <w:tcPr>
            <w:tcW w:w="993" w:type="pct"/>
            <w:vAlign w:val="bottom"/>
          </w:tcPr>
          <w:p w14:paraId="526D1471" w14:textId="54071DCD" w:rsidR="00555B2B" w:rsidRDefault="6DCCCFCC" w:rsidP="189EB430">
            <w:pPr>
              <w:spacing w:beforeAutospacing="1" w:afterAutospacing="1"/>
              <w:jc w:val="right"/>
              <w:rPr>
                <w:color w:val="000000" w:themeColor="text1"/>
              </w:rPr>
            </w:pPr>
            <w:r w:rsidRPr="189EB430">
              <w:rPr>
                <w:color w:val="000000" w:themeColor="text1"/>
              </w:rPr>
              <w:t>11</w:t>
            </w:r>
          </w:p>
        </w:tc>
      </w:tr>
      <w:tr w:rsidR="00555B2B" w14:paraId="7D1EA546" w14:textId="77777777" w:rsidTr="006251E8">
        <w:trPr>
          <w:cantSplit/>
          <w:trHeight w:val="300"/>
        </w:trPr>
        <w:tc>
          <w:tcPr>
            <w:tcW w:w="3381" w:type="pct"/>
            <w:vAlign w:val="bottom"/>
          </w:tcPr>
          <w:p w14:paraId="0C72747F" w14:textId="77777777" w:rsidR="00555B2B" w:rsidRDefault="0058077A">
            <w:pPr>
              <w:spacing w:beforeAutospacing="1" w:afterAutospacing="1"/>
            </w:pPr>
            <w:r>
              <w:rPr>
                <w:color w:val="000000"/>
              </w:rPr>
              <w:t>Asian</w:t>
            </w:r>
          </w:p>
        </w:tc>
        <w:tc>
          <w:tcPr>
            <w:tcW w:w="626" w:type="pct"/>
            <w:vAlign w:val="bottom"/>
          </w:tcPr>
          <w:p w14:paraId="1DEBD281" w14:textId="300F1D69" w:rsidR="00555B2B" w:rsidRDefault="70CCFBB7" w:rsidP="006251E8">
            <w:pPr>
              <w:spacing w:beforeAutospacing="1" w:afterAutospacing="1"/>
              <w:jc w:val="center"/>
            </w:pPr>
            <w:r w:rsidRPr="0AF71021">
              <w:rPr>
                <w:color w:val="000000" w:themeColor="text1"/>
              </w:rPr>
              <w:t>16</w:t>
            </w:r>
          </w:p>
        </w:tc>
        <w:tc>
          <w:tcPr>
            <w:tcW w:w="993" w:type="pct"/>
            <w:vAlign w:val="bottom"/>
          </w:tcPr>
          <w:p w14:paraId="7AF75256" w14:textId="77777777" w:rsidR="00555B2B" w:rsidRDefault="0058077A">
            <w:pPr>
              <w:spacing w:beforeAutospacing="1" w:afterAutospacing="1"/>
              <w:jc w:val="right"/>
            </w:pPr>
            <w:r>
              <w:rPr>
                <w:color w:val="000000"/>
              </w:rPr>
              <w:t>0</w:t>
            </w:r>
          </w:p>
        </w:tc>
      </w:tr>
      <w:tr w:rsidR="00555B2B" w14:paraId="57CC1DD8" w14:textId="77777777" w:rsidTr="006251E8">
        <w:trPr>
          <w:cantSplit/>
          <w:trHeight w:val="300"/>
        </w:trPr>
        <w:tc>
          <w:tcPr>
            <w:tcW w:w="3381" w:type="pct"/>
            <w:vAlign w:val="bottom"/>
          </w:tcPr>
          <w:p w14:paraId="1BB76E56" w14:textId="4EE81A1D" w:rsidR="00555B2B" w:rsidRDefault="0058077A" w:rsidP="0AF71021">
            <w:pPr>
              <w:spacing w:beforeAutospacing="1" w:afterAutospacing="1"/>
            </w:pPr>
            <w:r w:rsidRPr="0AF71021">
              <w:rPr>
                <w:color w:val="000000" w:themeColor="text1"/>
              </w:rPr>
              <w:t xml:space="preserve">American Indian or </w:t>
            </w:r>
            <w:r w:rsidR="64B7FB91" w:rsidRPr="0AF71021">
              <w:rPr>
                <w:color w:val="000000" w:themeColor="text1"/>
              </w:rPr>
              <w:t xml:space="preserve">Alaskan </w:t>
            </w:r>
            <w:r w:rsidRPr="0AF71021">
              <w:rPr>
                <w:color w:val="000000" w:themeColor="text1"/>
              </w:rPr>
              <w:t>Native</w:t>
            </w:r>
          </w:p>
        </w:tc>
        <w:tc>
          <w:tcPr>
            <w:tcW w:w="626" w:type="pct"/>
            <w:vAlign w:val="bottom"/>
          </w:tcPr>
          <w:p w14:paraId="67108F1D" w14:textId="331809D7" w:rsidR="00555B2B" w:rsidRDefault="1E645CE5" w:rsidP="189EB430">
            <w:pPr>
              <w:spacing w:beforeAutospacing="1" w:afterAutospacing="1"/>
              <w:jc w:val="right"/>
            </w:pPr>
            <w:r w:rsidRPr="189EB430">
              <w:rPr>
                <w:color w:val="000000" w:themeColor="text1"/>
              </w:rPr>
              <w:t>8</w:t>
            </w:r>
          </w:p>
        </w:tc>
        <w:tc>
          <w:tcPr>
            <w:tcW w:w="993" w:type="pct"/>
            <w:vAlign w:val="bottom"/>
          </w:tcPr>
          <w:p w14:paraId="014F3C62" w14:textId="77777777" w:rsidR="00555B2B" w:rsidRDefault="0058077A">
            <w:pPr>
              <w:spacing w:beforeAutospacing="1" w:afterAutospacing="1"/>
              <w:jc w:val="right"/>
            </w:pPr>
            <w:r>
              <w:rPr>
                <w:color w:val="000000"/>
              </w:rPr>
              <w:t>0</w:t>
            </w:r>
          </w:p>
        </w:tc>
      </w:tr>
      <w:tr w:rsidR="00555B2B" w14:paraId="350B9481" w14:textId="77777777" w:rsidTr="006251E8">
        <w:trPr>
          <w:cantSplit/>
          <w:trHeight w:val="300"/>
        </w:trPr>
        <w:tc>
          <w:tcPr>
            <w:tcW w:w="3381" w:type="pct"/>
            <w:vAlign w:val="bottom"/>
          </w:tcPr>
          <w:p w14:paraId="4CA1C1AF" w14:textId="77777777" w:rsidR="00555B2B" w:rsidRDefault="0058077A">
            <w:pPr>
              <w:spacing w:beforeAutospacing="1" w:afterAutospacing="1"/>
            </w:pPr>
            <w:r>
              <w:rPr>
                <w:color w:val="000000"/>
              </w:rPr>
              <w:t>Native Hawaiian or Other Pacific Islander</w:t>
            </w:r>
          </w:p>
        </w:tc>
        <w:tc>
          <w:tcPr>
            <w:tcW w:w="626" w:type="pct"/>
            <w:vAlign w:val="bottom"/>
          </w:tcPr>
          <w:p w14:paraId="74903030" w14:textId="3C3E5958" w:rsidR="00555B2B" w:rsidRDefault="64B7FB91" w:rsidP="0AF71021">
            <w:pPr>
              <w:spacing w:beforeAutospacing="1" w:afterAutospacing="1"/>
              <w:jc w:val="right"/>
            </w:pPr>
            <w:r w:rsidRPr="0AF71021">
              <w:rPr>
                <w:color w:val="000000" w:themeColor="text1"/>
              </w:rPr>
              <w:t>3</w:t>
            </w:r>
          </w:p>
        </w:tc>
        <w:tc>
          <w:tcPr>
            <w:tcW w:w="993" w:type="pct"/>
            <w:vAlign w:val="bottom"/>
          </w:tcPr>
          <w:p w14:paraId="5A958491" w14:textId="77777777" w:rsidR="00555B2B" w:rsidRDefault="0058077A">
            <w:pPr>
              <w:spacing w:beforeAutospacing="1" w:afterAutospacing="1"/>
              <w:jc w:val="right"/>
            </w:pPr>
            <w:r>
              <w:rPr>
                <w:color w:val="000000"/>
              </w:rPr>
              <w:t>0</w:t>
            </w:r>
          </w:p>
        </w:tc>
      </w:tr>
      <w:tr w:rsidR="002C5E67" w14:paraId="59F4DF23" w14:textId="77777777" w:rsidTr="006251E8">
        <w:trPr>
          <w:cantSplit/>
          <w:trHeight w:val="300"/>
        </w:trPr>
        <w:tc>
          <w:tcPr>
            <w:tcW w:w="3381" w:type="pct"/>
            <w:vAlign w:val="bottom"/>
          </w:tcPr>
          <w:p w14:paraId="3FB16EDF" w14:textId="5FCFBE32" w:rsidR="002C5E67" w:rsidRDefault="64B7FB91" w:rsidP="0AF71021">
            <w:pPr>
              <w:spacing w:beforeAutospacing="1" w:afterAutospacing="1"/>
              <w:rPr>
                <w:color w:val="000000"/>
              </w:rPr>
            </w:pPr>
            <w:r w:rsidRPr="0AF71021">
              <w:rPr>
                <w:color w:val="000000" w:themeColor="text1"/>
              </w:rPr>
              <w:t>Asian &amp; White</w:t>
            </w:r>
          </w:p>
        </w:tc>
        <w:tc>
          <w:tcPr>
            <w:tcW w:w="626" w:type="pct"/>
            <w:vAlign w:val="bottom"/>
          </w:tcPr>
          <w:p w14:paraId="14F72C64" w14:textId="299B4B09" w:rsidR="002C5E67" w:rsidDel="00274967" w:rsidRDefault="64B7FB91" w:rsidP="0AF71021">
            <w:pPr>
              <w:spacing w:beforeAutospacing="1" w:afterAutospacing="1"/>
              <w:jc w:val="right"/>
              <w:rPr>
                <w:color w:val="000000"/>
              </w:rPr>
            </w:pPr>
            <w:r w:rsidRPr="0AF71021">
              <w:rPr>
                <w:color w:val="000000" w:themeColor="text1"/>
              </w:rPr>
              <w:t>2</w:t>
            </w:r>
          </w:p>
        </w:tc>
        <w:tc>
          <w:tcPr>
            <w:tcW w:w="993" w:type="pct"/>
            <w:vAlign w:val="bottom"/>
          </w:tcPr>
          <w:p w14:paraId="696EC7D3" w14:textId="77777777" w:rsidR="002C5E67" w:rsidRDefault="002C5E67">
            <w:pPr>
              <w:spacing w:beforeAutospacing="1" w:afterAutospacing="1"/>
              <w:jc w:val="right"/>
              <w:rPr>
                <w:color w:val="000000"/>
              </w:rPr>
            </w:pPr>
          </w:p>
        </w:tc>
      </w:tr>
      <w:tr w:rsidR="002C5E67" w14:paraId="4B2C94E9" w14:textId="77777777" w:rsidTr="006251E8">
        <w:trPr>
          <w:cantSplit/>
          <w:trHeight w:val="300"/>
        </w:trPr>
        <w:tc>
          <w:tcPr>
            <w:tcW w:w="3381" w:type="pct"/>
            <w:vAlign w:val="bottom"/>
          </w:tcPr>
          <w:p w14:paraId="7BA9E676" w14:textId="4FCFF188" w:rsidR="002C5E67" w:rsidRDefault="64B7FB91" w:rsidP="0AF71021">
            <w:pPr>
              <w:spacing w:beforeAutospacing="1" w:afterAutospacing="1"/>
              <w:rPr>
                <w:color w:val="000000"/>
              </w:rPr>
            </w:pPr>
            <w:r w:rsidRPr="0AF71021">
              <w:rPr>
                <w:color w:val="000000" w:themeColor="text1"/>
              </w:rPr>
              <w:t>Black/African American &amp; White</w:t>
            </w:r>
          </w:p>
        </w:tc>
        <w:tc>
          <w:tcPr>
            <w:tcW w:w="626" w:type="pct"/>
            <w:vAlign w:val="bottom"/>
          </w:tcPr>
          <w:p w14:paraId="3FFB4337" w14:textId="2E62A4C8" w:rsidR="002C5E67" w:rsidRDefault="7568FD78" w:rsidP="0AF71021">
            <w:pPr>
              <w:spacing w:beforeAutospacing="1" w:afterAutospacing="1"/>
              <w:jc w:val="right"/>
              <w:rPr>
                <w:color w:val="000000"/>
              </w:rPr>
            </w:pPr>
            <w:r w:rsidRPr="0AF71021">
              <w:rPr>
                <w:color w:val="000000" w:themeColor="text1"/>
              </w:rPr>
              <w:t>12</w:t>
            </w:r>
          </w:p>
        </w:tc>
        <w:tc>
          <w:tcPr>
            <w:tcW w:w="993" w:type="pct"/>
            <w:vAlign w:val="bottom"/>
          </w:tcPr>
          <w:p w14:paraId="254E62AF" w14:textId="63B3D01C" w:rsidR="002C5E67" w:rsidRDefault="529E95BC" w:rsidP="189EB430">
            <w:pPr>
              <w:spacing w:beforeAutospacing="1" w:afterAutospacing="1"/>
              <w:jc w:val="right"/>
              <w:rPr>
                <w:color w:val="000000"/>
              </w:rPr>
            </w:pPr>
            <w:r w:rsidRPr="189EB430">
              <w:rPr>
                <w:color w:val="000000" w:themeColor="text1"/>
              </w:rPr>
              <w:t>1</w:t>
            </w:r>
          </w:p>
        </w:tc>
      </w:tr>
      <w:tr w:rsidR="008632C2" w14:paraId="0CD6BE43" w14:textId="77777777" w:rsidTr="006251E8">
        <w:trPr>
          <w:cantSplit/>
          <w:trHeight w:val="300"/>
        </w:trPr>
        <w:tc>
          <w:tcPr>
            <w:tcW w:w="3381" w:type="pct"/>
            <w:vAlign w:val="bottom"/>
          </w:tcPr>
          <w:p w14:paraId="634D72D9" w14:textId="43E8CA1B" w:rsidR="008632C2" w:rsidRDefault="7568FD78" w:rsidP="0AF71021">
            <w:pPr>
              <w:spacing w:beforeAutospacing="1" w:afterAutospacing="1"/>
              <w:rPr>
                <w:color w:val="000000"/>
              </w:rPr>
            </w:pPr>
            <w:r w:rsidRPr="0AF71021">
              <w:rPr>
                <w:color w:val="000000" w:themeColor="text1"/>
              </w:rPr>
              <w:t>Am. Indian/Alaskan Native &amp; Black/African American</w:t>
            </w:r>
          </w:p>
        </w:tc>
        <w:tc>
          <w:tcPr>
            <w:tcW w:w="626" w:type="pct"/>
            <w:vAlign w:val="bottom"/>
          </w:tcPr>
          <w:p w14:paraId="2D3BDBA1" w14:textId="34BD7748" w:rsidR="008632C2" w:rsidRDefault="7568FD78" w:rsidP="0AF71021">
            <w:pPr>
              <w:spacing w:beforeAutospacing="1" w:afterAutospacing="1"/>
              <w:jc w:val="right"/>
              <w:rPr>
                <w:color w:val="000000"/>
              </w:rPr>
            </w:pPr>
            <w:r w:rsidRPr="0AF71021">
              <w:rPr>
                <w:color w:val="000000" w:themeColor="text1"/>
              </w:rPr>
              <w:t>2</w:t>
            </w:r>
          </w:p>
        </w:tc>
        <w:tc>
          <w:tcPr>
            <w:tcW w:w="993" w:type="pct"/>
            <w:vAlign w:val="bottom"/>
          </w:tcPr>
          <w:p w14:paraId="6C657F6F" w14:textId="77777777" w:rsidR="008632C2" w:rsidRDefault="008632C2">
            <w:pPr>
              <w:spacing w:beforeAutospacing="1" w:afterAutospacing="1"/>
              <w:jc w:val="right"/>
              <w:rPr>
                <w:color w:val="000000"/>
              </w:rPr>
            </w:pPr>
          </w:p>
        </w:tc>
      </w:tr>
      <w:tr w:rsidR="008632C2" w14:paraId="4C50B587" w14:textId="77777777" w:rsidTr="006251E8">
        <w:trPr>
          <w:cantSplit/>
          <w:trHeight w:val="300"/>
        </w:trPr>
        <w:tc>
          <w:tcPr>
            <w:tcW w:w="3381" w:type="pct"/>
            <w:vAlign w:val="bottom"/>
          </w:tcPr>
          <w:p w14:paraId="2B873F94" w14:textId="03EF7F37" w:rsidR="008632C2" w:rsidRDefault="4872AAEF" w:rsidP="0AF71021">
            <w:pPr>
              <w:spacing w:beforeAutospacing="1" w:afterAutospacing="1"/>
              <w:rPr>
                <w:color w:val="000000"/>
              </w:rPr>
            </w:pPr>
            <w:r w:rsidRPr="0AF71021">
              <w:rPr>
                <w:color w:val="000000" w:themeColor="text1"/>
              </w:rPr>
              <w:t>Other Multi-Racial</w:t>
            </w:r>
          </w:p>
        </w:tc>
        <w:tc>
          <w:tcPr>
            <w:tcW w:w="626" w:type="pct"/>
            <w:vAlign w:val="bottom"/>
          </w:tcPr>
          <w:p w14:paraId="7E9ED77F" w14:textId="3EF64F73" w:rsidR="008632C2" w:rsidRDefault="3BB433D5" w:rsidP="189EB430">
            <w:pPr>
              <w:spacing w:beforeAutospacing="1" w:afterAutospacing="1"/>
              <w:jc w:val="right"/>
              <w:rPr>
                <w:color w:val="000000"/>
              </w:rPr>
            </w:pPr>
            <w:r w:rsidRPr="189EB430">
              <w:rPr>
                <w:color w:val="000000" w:themeColor="text1"/>
              </w:rPr>
              <w:t>92</w:t>
            </w:r>
          </w:p>
        </w:tc>
        <w:tc>
          <w:tcPr>
            <w:tcW w:w="993" w:type="pct"/>
            <w:vAlign w:val="bottom"/>
          </w:tcPr>
          <w:p w14:paraId="2EBE0EF6" w14:textId="77777777" w:rsidR="008632C2" w:rsidRDefault="008632C2">
            <w:pPr>
              <w:spacing w:beforeAutospacing="1" w:afterAutospacing="1"/>
              <w:jc w:val="right"/>
              <w:rPr>
                <w:color w:val="000000"/>
              </w:rPr>
            </w:pPr>
          </w:p>
        </w:tc>
      </w:tr>
    </w:tbl>
    <w:p w14:paraId="184CECF0" w14:textId="77777777" w:rsidR="00555B2B" w:rsidRDefault="00555B2B">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555B2B" w14:paraId="7EEC183C" w14:textId="77777777" w:rsidTr="189EB430">
        <w:trPr>
          <w:cantSplit/>
          <w:hidden/>
        </w:trPr>
        <w:tc>
          <w:tcPr>
            <w:tcW w:w="3009" w:type="pct"/>
          </w:tcPr>
          <w:p w14:paraId="5A2A5F05" w14:textId="77777777" w:rsidR="00555B2B" w:rsidRDefault="00555B2B">
            <w:pPr>
              <w:keepNext/>
              <w:widowControl w:val="0"/>
              <w:spacing w:after="0" w:line="240" w:lineRule="auto"/>
              <w:rPr>
                <w:vanish/>
              </w:rPr>
            </w:pPr>
          </w:p>
        </w:tc>
        <w:tc>
          <w:tcPr>
            <w:tcW w:w="992" w:type="pct"/>
          </w:tcPr>
          <w:p w14:paraId="268C269F" w14:textId="77777777" w:rsidR="00555B2B" w:rsidRDefault="00555B2B">
            <w:pPr>
              <w:keepNext/>
              <w:widowControl w:val="0"/>
              <w:spacing w:after="0" w:line="240" w:lineRule="auto"/>
              <w:jc w:val="center"/>
              <w:rPr>
                <w:b/>
                <w:vanish/>
              </w:rPr>
            </w:pPr>
          </w:p>
        </w:tc>
        <w:tc>
          <w:tcPr>
            <w:tcW w:w="992" w:type="pct"/>
          </w:tcPr>
          <w:p w14:paraId="69B27980" w14:textId="77777777" w:rsidR="00555B2B" w:rsidRDefault="00555B2B">
            <w:pPr>
              <w:keepNext/>
              <w:widowControl w:val="0"/>
              <w:spacing w:after="0" w:line="240" w:lineRule="auto"/>
              <w:jc w:val="center"/>
              <w:rPr>
                <w:b/>
                <w:vanish/>
              </w:rPr>
            </w:pPr>
          </w:p>
        </w:tc>
      </w:tr>
      <w:tr w:rsidR="00555B2B" w14:paraId="6A209315" w14:textId="77777777" w:rsidTr="189EB430">
        <w:trPr>
          <w:cantSplit/>
        </w:trPr>
        <w:tc>
          <w:tcPr>
            <w:tcW w:w="4821" w:type="dxa"/>
            <w:vAlign w:val="bottom"/>
          </w:tcPr>
          <w:p w14:paraId="426AB5D9" w14:textId="77777777" w:rsidR="00555B2B" w:rsidRDefault="0058077A">
            <w:pPr>
              <w:spacing w:beforeAutospacing="1" w:afterAutospacing="1"/>
            </w:pPr>
            <w:r>
              <w:rPr>
                <w:b/>
                <w:color w:val="000000"/>
              </w:rPr>
              <w:t>Total</w:t>
            </w:r>
          </w:p>
        </w:tc>
        <w:tc>
          <w:tcPr>
            <w:tcW w:w="1589" w:type="dxa"/>
            <w:vAlign w:val="bottom"/>
          </w:tcPr>
          <w:p w14:paraId="12CF3002" w14:textId="0230880E" w:rsidR="00555B2B" w:rsidRDefault="4D3B1B8A" w:rsidP="189EB430">
            <w:pPr>
              <w:spacing w:beforeAutospacing="1" w:afterAutospacing="1"/>
              <w:jc w:val="right"/>
              <w:rPr>
                <w:b/>
                <w:bCs/>
                <w:color w:val="000000" w:themeColor="text1"/>
              </w:rPr>
            </w:pPr>
            <w:r w:rsidRPr="189EB430">
              <w:rPr>
                <w:b/>
                <w:bCs/>
                <w:color w:val="000000" w:themeColor="text1"/>
              </w:rPr>
              <w:t>1,181</w:t>
            </w:r>
          </w:p>
        </w:tc>
        <w:tc>
          <w:tcPr>
            <w:tcW w:w="1589" w:type="dxa"/>
            <w:vAlign w:val="bottom"/>
          </w:tcPr>
          <w:p w14:paraId="31717EF7" w14:textId="1AE02AD3" w:rsidR="00555B2B" w:rsidRDefault="099568BF" w:rsidP="189EB430">
            <w:pPr>
              <w:spacing w:beforeAutospacing="1" w:afterAutospacing="1"/>
              <w:jc w:val="right"/>
            </w:pPr>
            <w:r w:rsidRPr="189EB430">
              <w:rPr>
                <w:b/>
                <w:bCs/>
                <w:color w:val="000000" w:themeColor="text1"/>
              </w:rPr>
              <w:t>43</w:t>
            </w:r>
          </w:p>
        </w:tc>
      </w:tr>
    </w:tbl>
    <w:p w14:paraId="7EB78629" w14:textId="77777777" w:rsidR="00555B2B" w:rsidRDefault="00555B2B">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555B2B" w14:paraId="0B5385A5" w14:textId="77777777" w:rsidTr="189EB430">
        <w:trPr>
          <w:cantSplit/>
          <w:hidden/>
        </w:trPr>
        <w:tc>
          <w:tcPr>
            <w:tcW w:w="3009" w:type="pct"/>
          </w:tcPr>
          <w:p w14:paraId="61A2C48F" w14:textId="77777777" w:rsidR="00555B2B" w:rsidRDefault="00555B2B">
            <w:pPr>
              <w:keepNext/>
              <w:widowControl w:val="0"/>
              <w:spacing w:after="0" w:line="240" w:lineRule="auto"/>
              <w:rPr>
                <w:vanish/>
              </w:rPr>
            </w:pPr>
          </w:p>
        </w:tc>
        <w:tc>
          <w:tcPr>
            <w:tcW w:w="992" w:type="pct"/>
          </w:tcPr>
          <w:p w14:paraId="3C5B90EB" w14:textId="77777777" w:rsidR="00555B2B" w:rsidRDefault="00555B2B">
            <w:pPr>
              <w:keepNext/>
              <w:widowControl w:val="0"/>
              <w:spacing w:after="0" w:line="240" w:lineRule="auto"/>
              <w:jc w:val="center"/>
              <w:rPr>
                <w:b/>
                <w:vanish/>
              </w:rPr>
            </w:pPr>
          </w:p>
        </w:tc>
        <w:tc>
          <w:tcPr>
            <w:tcW w:w="992" w:type="pct"/>
          </w:tcPr>
          <w:p w14:paraId="1FD36196" w14:textId="77777777" w:rsidR="00555B2B" w:rsidRDefault="00555B2B">
            <w:pPr>
              <w:keepNext/>
              <w:widowControl w:val="0"/>
              <w:spacing w:after="0" w:line="240" w:lineRule="auto"/>
              <w:jc w:val="center"/>
              <w:rPr>
                <w:b/>
                <w:vanish/>
              </w:rPr>
            </w:pPr>
          </w:p>
        </w:tc>
      </w:tr>
      <w:tr w:rsidR="00555B2B" w14:paraId="4223EA87" w14:textId="77777777" w:rsidTr="189EB430">
        <w:trPr>
          <w:cantSplit/>
        </w:trPr>
        <w:tc>
          <w:tcPr>
            <w:tcW w:w="4821" w:type="dxa"/>
            <w:vAlign w:val="bottom"/>
          </w:tcPr>
          <w:p w14:paraId="1E3ACFBA" w14:textId="77777777" w:rsidR="00555B2B" w:rsidRDefault="0058077A">
            <w:pPr>
              <w:spacing w:beforeAutospacing="1" w:afterAutospacing="1"/>
            </w:pPr>
            <w:r>
              <w:rPr>
                <w:color w:val="000000"/>
              </w:rPr>
              <w:t>Hispanic</w:t>
            </w:r>
          </w:p>
        </w:tc>
        <w:tc>
          <w:tcPr>
            <w:tcW w:w="1589" w:type="dxa"/>
            <w:vAlign w:val="bottom"/>
          </w:tcPr>
          <w:p w14:paraId="513FE2AB" w14:textId="7E5A7326" w:rsidR="00555B2B" w:rsidRDefault="57038F1C" w:rsidP="189EB430">
            <w:pPr>
              <w:spacing w:beforeAutospacing="1" w:afterAutospacing="1"/>
              <w:jc w:val="right"/>
            </w:pPr>
            <w:r w:rsidRPr="189EB430">
              <w:rPr>
                <w:color w:val="000000" w:themeColor="text1"/>
              </w:rPr>
              <w:t>398</w:t>
            </w:r>
          </w:p>
        </w:tc>
        <w:tc>
          <w:tcPr>
            <w:tcW w:w="1589" w:type="dxa"/>
            <w:vAlign w:val="bottom"/>
          </w:tcPr>
          <w:p w14:paraId="1AE79AA2" w14:textId="6F008059" w:rsidR="00555B2B" w:rsidRDefault="5AACBF85">
            <w:pPr>
              <w:spacing w:beforeAutospacing="1" w:afterAutospacing="1"/>
              <w:jc w:val="right"/>
              <w:rPr>
                <w:rFonts w:cs="Calibri"/>
              </w:rPr>
            </w:pPr>
            <w:r w:rsidRPr="189EB430">
              <w:rPr>
                <w:color w:val="000000" w:themeColor="text1"/>
              </w:rPr>
              <w:t>2</w:t>
            </w:r>
          </w:p>
        </w:tc>
      </w:tr>
      <w:tr w:rsidR="00555B2B" w14:paraId="092CBA4B" w14:textId="77777777" w:rsidTr="189EB430">
        <w:trPr>
          <w:cantSplit/>
        </w:trPr>
        <w:tc>
          <w:tcPr>
            <w:tcW w:w="4821" w:type="dxa"/>
            <w:vAlign w:val="bottom"/>
          </w:tcPr>
          <w:p w14:paraId="76E9274A" w14:textId="77777777" w:rsidR="00555B2B" w:rsidRDefault="0058077A">
            <w:pPr>
              <w:spacing w:beforeAutospacing="1" w:afterAutospacing="1"/>
            </w:pPr>
            <w:r>
              <w:rPr>
                <w:color w:val="000000"/>
              </w:rPr>
              <w:t>Not Hispanic</w:t>
            </w:r>
          </w:p>
        </w:tc>
        <w:tc>
          <w:tcPr>
            <w:tcW w:w="1589" w:type="dxa"/>
            <w:vAlign w:val="bottom"/>
          </w:tcPr>
          <w:p w14:paraId="69953173" w14:textId="7DD00478" w:rsidR="00555B2B" w:rsidRDefault="03EA96B1" w:rsidP="189EB430">
            <w:pPr>
              <w:spacing w:beforeAutospacing="1" w:afterAutospacing="1"/>
              <w:jc w:val="right"/>
            </w:pPr>
            <w:r w:rsidRPr="189EB430">
              <w:rPr>
                <w:color w:val="000000" w:themeColor="text1"/>
              </w:rPr>
              <w:t>783</w:t>
            </w:r>
          </w:p>
        </w:tc>
        <w:tc>
          <w:tcPr>
            <w:tcW w:w="1589" w:type="dxa"/>
            <w:vAlign w:val="bottom"/>
          </w:tcPr>
          <w:p w14:paraId="1B96F474" w14:textId="30486C20" w:rsidR="00555B2B" w:rsidRDefault="236227F4" w:rsidP="189EB430">
            <w:pPr>
              <w:spacing w:beforeAutospacing="1" w:afterAutospacing="1"/>
              <w:jc w:val="right"/>
            </w:pPr>
            <w:r w:rsidRPr="189EB430">
              <w:rPr>
                <w:color w:val="000000" w:themeColor="text1"/>
              </w:rPr>
              <w:t>41</w:t>
            </w:r>
          </w:p>
        </w:tc>
      </w:tr>
    </w:tbl>
    <w:p w14:paraId="3CDE8C31" w14:textId="77777777" w:rsidR="00555B2B" w:rsidRDefault="00555B2B">
      <w:pPr>
        <w:pStyle w:val="NoSpacing"/>
        <w:rPr>
          <w:vanish/>
        </w:rPr>
      </w:pPr>
    </w:p>
    <w:p w14:paraId="50E47223" w14:textId="77777777" w:rsidR="00555B2B" w:rsidRDefault="0058077A" w:rsidP="0AF71021">
      <w:pPr>
        <w:keepNext/>
        <w:widowControl w:val="0"/>
        <w:ind w:firstLine="720"/>
        <w:rPr>
          <w:b/>
          <w:bCs/>
          <w:color w:val="000000" w:themeColor="text1"/>
          <w:sz w:val="20"/>
          <w:szCs w:val="20"/>
        </w:rPr>
      </w:pPr>
      <w:r w:rsidRPr="0AF71021">
        <w:rPr>
          <w:rFonts w:asciiTheme="minorHAnsi" w:hAnsiTheme="minorHAnsi"/>
          <w:b/>
          <w:bCs/>
          <w:sz w:val="20"/>
          <w:szCs w:val="20"/>
        </w:rPr>
        <w:t xml:space="preserve">Table </w:t>
      </w:r>
      <w:r w:rsidRPr="0AF71021">
        <w:rPr>
          <w:rFonts w:asciiTheme="minorHAnsi" w:hAnsiTheme="minorHAnsi"/>
          <w:b/>
          <w:bCs/>
          <w:sz w:val="20"/>
          <w:szCs w:val="20"/>
        </w:rPr>
        <w:fldChar w:fldCharType="begin"/>
      </w:r>
      <w:r w:rsidRPr="0AF71021">
        <w:rPr>
          <w:rFonts w:asciiTheme="minorHAnsi" w:hAnsiTheme="minorHAnsi"/>
          <w:b/>
          <w:bCs/>
          <w:sz w:val="20"/>
          <w:szCs w:val="20"/>
        </w:rPr>
        <w:instrText xml:space="preserve"> SEQ Table \* ARABIC </w:instrText>
      </w:r>
      <w:r w:rsidRPr="0AF71021">
        <w:rPr>
          <w:rFonts w:asciiTheme="minorHAnsi" w:hAnsiTheme="minorHAnsi"/>
          <w:b/>
          <w:bCs/>
          <w:sz w:val="20"/>
          <w:szCs w:val="20"/>
        </w:rPr>
        <w:fldChar w:fldCharType="separate"/>
      </w:r>
      <w:r w:rsidRPr="0AF71021">
        <w:rPr>
          <w:rFonts w:asciiTheme="minorHAnsi" w:hAnsiTheme="minorHAnsi"/>
          <w:b/>
          <w:bCs/>
          <w:sz w:val="20"/>
          <w:szCs w:val="20"/>
        </w:rPr>
        <w:t>2</w:t>
      </w:r>
      <w:r w:rsidRPr="0AF71021">
        <w:rPr>
          <w:rFonts w:asciiTheme="minorHAnsi" w:hAnsiTheme="minorHAnsi"/>
          <w:b/>
          <w:bCs/>
          <w:sz w:val="20"/>
          <w:szCs w:val="20"/>
        </w:rPr>
        <w:fldChar w:fldCharType="end"/>
      </w:r>
      <w:r w:rsidRPr="0AF71021">
        <w:rPr>
          <w:rFonts w:asciiTheme="minorHAnsi" w:hAnsiTheme="minorHAnsi"/>
          <w:b/>
          <w:bCs/>
          <w:sz w:val="20"/>
          <w:szCs w:val="20"/>
        </w:rPr>
        <w:t xml:space="preserve"> – Table of assistance to racial and ethnic populations by source of funds</w:t>
      </w:r>
      <w:r w:rsidRPr="0AF71021">
        <w:rPr>
          <w:b/>
          <w:bCs/>
          <w:color w:val="000000" w:themeColor="text1"/>
          <w:sz w:val="20"/>
          <w:szCs w:val="20"/>
        </w:rPr>
        <w:t xml:space="preserve"> </w:t>
      </w:r>
    </w:p>
    <w:p w14:paraId="66FB7716" w14:textId="77777777" w:rsidR="00555B2B" w:rsidRDefault="00555B2B">
      <w:pPr>
        <w:widowControl w:val="0"/>
        <w:rPr>
          <w:b/>
          <w:sz w:val="24"/>
          <w:szCs w:val="24"/>
        </w:rPr>
      </w:pPr>
    </w:p>
    <w:p w14:paraId="5814870B" w14:textId="77777777" w:rsidR="00555B2B" w:rsidRDefault="0058077A">
      <w:pPr>
        <w:widowControl w:val="0"/>
        <w:rPr>
          <w:b/>
          <w:sz w:val="24"/>
          <w:szCs w:val="24"/>
        </w:rPr>
      </w:pPr>
      <w:r>
        <w:rPr>
          <w:b/>
          <w:sz w:val="24"/>
          <w:szCs w:val="24"/>
        </w:rPr>
        <w:t>Narrative</w:t>
      </w:r>
    </w:p>
    <w:p w14:paraId="268D9B19" w14:textId="4F04446E" w:rsidR="00555B2B" w:rsidRDefault="31D429DA" w:rsidP="189EB430">
      <w:pPr>
        <w:widowControl w:val="0"/>
        <w:spacing w:beforeAutospacing="1" w:afterAutospacing="1"/>
      </w:pPr>
      <w:r>
        <w:t>During the 202</w:t>
      </w:r>
      <w:r w:rsidR="2DDCD2E6">
        <w:t>2</w:t>
      </w:r>
      <w:r>
        <w:t xml:space="preserve"> program year, funded agencies were required to submit monthly performance and beneficiary reports. Information on the racial and ethnic status of the families assisted was entered into IDIS. The table above shows a total of 1,</w:t>
      </w:r>
      <w:r w:rsidR="0F41DDEA">
        <w:t xml:space="preserve">224 </w:t>
      </w:r>
      <w:r>
        <w:t>beneficiaries served by race and ethnicity.</w:t>
      </w:r>
    </w:p>
    <w:p w14:paraId="2183C95A" w14:textId="77777777" w:rsidR="00555B2B" w:rsidRDefault="00555B2B">
      <w:pPr>
        <w:widowControl w:val="0"/>
      </w:pPr>
    </w:p>
    <w:p w14:paraId="57D04F2C" w14:textId="77777777" w:rsidR="00555B2B" w:rsidRDefault="00555B2B">
      <w:pPr>
        <w:sectPr w:rsidR="00555B2B">
          <w:pgSz w:w="12240" w:h="15840" w:code="1"/>
          <w:pgMar w:top="1440" w:right="1440" w:bottom="1440" w:left="1440" w:header="720" w:footer="720" w:gutter="0"/>
          <w:cols w:space="720"/>
          <w:docGrid w:linePitch="360"/>
        </w:sectPr>
      </w:pPr>
    </w:p>
    <w:bookmarkEnd w:id="0"/>
    <w:p w14:paraId="6D7A1DC7" w14:textId="77777777" w:rsidR="00555B2B" w:rsidRDefault="0058077A">
      <w:pPr>
        <w:pStyle w:val="Heading2"/>
        <w:rPr>
          <w:rFonts w:ascii="Calibri" w:hAnsi="Calibri"/>
          <w:i w:val="0"/>
        </w:rPr>
      </w:pPr>
      <w:r>
        <w:rPr>
          <w:rFonts w:ascii="Calibri" w:hAnsi="Calibri"/>
          <w:i w:val="0"/>
        </w:rPr>
        <w:t>CR-15 - Resources and Investments 91.520(a)</w:t>
      </w:r>
    </w:p>
    <w:p w14:paraId="00D5507C" w14:textId="77777777" w:rsidR="00555B2B" w:rsidRDefault="0058077A">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9"/>
        <w:gridCol w:w="2341"/>
        <w:gridCol w:w="2351"/>
      </w:tblGrid>
      <w:tr w:rsidR="00555B2B" w14:paraId="4DE9505B" w14:textId="77777777" w:rsidTr="189EB430">
        <w:trPr>
          <w:cantSplit/>
        </w:trPr>
        <w:tc>
          <w:tcPr>
            <w:tcW w:w="2394" w:type="dxa"/>
          </w:tcPr>
          <w:p w14:paraId="127D5BD3" w14:textId="77777777" w:rsidR="00555B2B" w:rsidRDefault="0058077A">
            <w:pPr>
              <w:keepNext/>
              <w:widowControl w:val="0"/>
              <w:spacing w:after="0" w:line="240" w:lineRule="auto"/>
              <w:jc w:val="center"/>
              <w:rPr>
                <w:rFonts w:cs="Arial"/>
                <w:b/>
              </w:rPr>
            </w:pPr>
            <w:r>
              <w:rPr>
                <w:rFonts w:cs="Arial"/>
                <w:b/>
              </w:rPr>
              <w:t>Source of Funds</w:t>
            </w:r>
          </w:p>
        </w:tc>
        <w:tc>
          <w:tcPr>
            <w:tcW w:w="2394" w:type="dxa"/>
          </w:tcPr>
          <w:p w14:paraId="6E3858A9" w14:textId="77777777" w:rsidR="00555B2B" w:rsidRDefault="0058077A">
            <w:pPr>
              <w:keepNext/>
              <w:widowControl w:val="0"/>
              <w:spacing w:after="0" w:line="240" w:lineRule="auto"/>
              <w:jc w:val="center"/>
              <w:rPr>
                <w:rFonts w:cs="Arial"/>
                <w:b/>
              </w:rPr>
            </w:pPr>
            <w:r>
              <w:rPr>
                <w:rFonts w:cs="Arial"/>
                <w:b/>
              </w:rPr>
              <w:t>Source</w:t>
            </w:r>
          </w:p>
        </w:tc>
        <w:tc>
          <w:tcPr>
            <w:tcW w:w="2394" w:type="dxa"/>
          </w:tcPr>
          <w:p w14:paraId="02AE3AC8" w14:textId="77777777" w:rsidR="00555B2B" w:rsidRDefault="0058077A">
            <w:pPr>
              <w:keepNext/>
              <w:spacing w:after="0" w:line="240" w:lineRule="auto"/>
              <w:jc w:val="center"/>
              <w:rPr>
                <w:rFonts w:cs="Arial"/>
                <w:b/>
              </w:rPr>
            </w:pPr>
            <w:r>
              <w:rPr>
                <w:rFonts w:cs="Arial"/>
                <w:b/>
              </w:rPr>
              <w:t>Resources Made Available</w:t>
            </w:r>
          </w:p>
        </w:tc>
        <w:tc>
          <w:tcPr>
            <w:tcW w:w="2394" w:type="dxa"/>
          </w:tcPr>
          <w:p w14:paraId="7111AB66" w14:textId="77777777" w:rsidR="00555B2B" w:rsidRDefault="0058077A">
            <w:pPr>
              <w:keepNext/>
              <w:widowControl w:val="0"/>
              <w:spacing w:after="0" w:line="240" w:lineRule="auto"/>
              <w:jc w:val="center"/>
              <w:rPr>
                <w:rFonts w:cs="Arial"/>
                <w:b/>
              </w:rPr>
            </w:pPr>
            <w:r>
              <w:rPr>
                <w:rFonts w:cs="Arial"/>
                <w:b/>
              </w:rPr>
              <w:t>Amount Expended During Program Year</w:t>
            </w:r>
          </w:p>
        </w:tc>
      </w:tr>
      <w:tr w:rsidR="00555B2B" w14:paraId="47F3BC11" w14:textId="77777777" w:rsidTr="189EB430">
        <w:trPr>
          <w:cantSplit/>
        </w:trPr>
        <w:tc>
          <w:tcPr>
            <w:tcW w:w="0" w:type="auto"/>
            <w:vAlign w:val="bottom"/>
          </w:tcPr>
          <w:p w14:paraId="0ABC9DFC" w14:textId="77777777" w:rsidR="00555B2B" w:rsidRDefault="0058077A">
            <w:pPr>
              <w:spacing w:beforeAutospacing="1" w:afterAutospacing="1"/>
            </w:pPr>
            <w:r>
              <w:rPr>
                <w:color w:val="000000"/>
              </w:rPr>
              <w:t>CDBG</w:t>
            </w:r>
          </w:p>
        </w:tc>
        <w:tc>
          <w:tcPr>
            <w:tcW w:w="0" w:type="auto"/>
            <w:vAlign w:val="bottom"/>
          </w:tcPr>
          <w:p w14:paraId="010587BF" w14:textId="77777777" w:rsidR="00555B2B" w:rsidRDefault="0058077A">
            <w:pPr>
              <w:spacing w:beforeAutospacing="1" w:afterAutospacing="1"/>
            </w:pPr>
            <w:r>
              <w:rPr>
                <w:color w:val="000000"/>
              </w:rPr>
              <w:t>public - federal</w:t>
            </w:r>
          </w:p>
        </w:tc>
        <w:tc>
          <w:tcPr>
            <w:tcW w:w="0" w:type="auto"/>
            <w:vAlign w:val="bottom"/>
          </w:tcPr>
          <w:p w14:paraId="4C354A88" w14:textId="23C49A46" w:rsidR="00555B2B" w:rsidRDefault="0058077A" w:rsidP="0AF71021">
            <w:pPr>
              <w:spacing w:beforeAutospacing="1" w:afterAutospacing="1"/>
              <w:jc w:val="right"/>
            </w:pPr>
            <w:r w:rsidRPr="0AF71021">
              <w:rPr>
                <w:color w:val="000000" w:themeColor="text1"/>
              </w:rPr>
              <w:t>1,</w:t>
            </w:r>
            <w:r w:rsidR="079DF45A" w:rsidRPr="0AF71021">
              <w:rPr>
                <w:color w:val="000000" w:themeColor="text1"/>
              </w:rPr>
              <w:t>3</w:t>
            </w:r>
            <w:r w:rsidR="11EBE042" w:rsidRPr="0AF71021">
              <w:rPr>
                <w:color w:val="000000" w:themeColor="text1"/>
              </w:rPr>
              <w:t>84,540</w:t>
            </w:r>
          </w:p>
        </w:tc>
        <w:tc>
          <w:tcPr>
            <w:tcW w:w="0" w:type="auto"/>
            <w:vAlign w:val="bottom"/>
          </w:tcPr>
          <w:p w14:paraId="33791A53" w14:textId="4FF445BD" w:rsidR="00555B2B" w:rsidRDefault="4279E04B">
            <w:pPr>
              <w:spacing w:beforeAutospacing="1" w:afterAutospacing="1"/>
              <w:jc w:val="right"/>
              <w:rPr>
                <w:rFonts w:cs="Calibri"/>
              </w:rPr>
            </w:pPr>
            <w:r w:rsidRPr="189EB430">
              <w:rPr>
                <w:color w:val="000000" w:themeColor="text1"/>
              </w:rPr>
              <w:t>1,719,750</w:t>
            </w:r>
            <w:r w:rsidR="186B3765" w:rsidRPr="189EB430">
              <w:rPr>
                <w:color w:val="000000" w:themeColor="text1"/>
              </w:rPr>
              <w:t>.13</w:t>
            </w:r>
          </w:p>
        </w:tc>
      </w:tr>
      <w:tr w:rsidR="00555B2B" w14:paraId="61A97DB6" w14:textId="77777777" w:rsidTr="189EB430">
        <w:trPr>
          <w:cantSplit/>
        </w:trPr>
        <w:tc>
          <w:tcPr>
            <w:tcW w:w="0" w:type="auto"/>
            <w:vAlign w:val="bottom"/>
          </w:tcPr>
          <w:p w14:paraId="6C82B0D0" w14:textId="77777777" w:rsidR="00555B2B" w:rsidRDefault="0058077A">
            <w:pPr>
              <w:spacing w:beforeAutospacing="1" w:afterAutospacing="1"/>
            </w:pPr>
            <w:r>
              <w:rPr>
                <w:color w:val="000000"/>
              </w:rPr>
              <w:t>HOME</w:t>
            </w:r>
          </w:p>
        </w:tc>
        <w:tc>
          <w:tcPr>
            <w:tcW w:w="0" w:type="auto"/>
            <w:vAlign w:val="bottom"/>
          </w:tcPr>
          <w:p w14:paraId="6CC61731" w14:textId="77777777" w:rsidR="00555B2B" w:rsidRDefault="0058077A">
            <w:pPr>
              <w:spacing w:beforeAutospacing="1" w:afterAutospacing="1"/>
            </w:pPr>
            <w:r>
              <w:rPr>
                <w:color w:val="000000"/>
              </w:rPr>
              <w:t>public - federal</w:t>
            </w:r>
          </w:p>
        </w:tc>
        <w:tc>
          <w:tcPr>
            <w:tcW w:w="0" w:type="auto"/>
            <w:vAlign w:val="bottom"/>
          </w:tcPr>
          <w:p w14:paraId="0674A7EB" w14:textId="09C73689" w:rsidR="00555B2B" w:rsidRDefault="0058077A" w:rsidP="0AF71021">
            <w:pPr>
              <w:spacing w:beforeAutospacing="1" w:afterAutospacing="1"/>
              <w:jc w:val="right"/>
            </w:pPr>
            <w:r w:rsidRPr="0AF71021">
              <w:rPr>
                <w:color w:val="000000" w:themeColor="text1"/>
              </w:rPr>
              <w:t>7</w:t>
            </w:r>
            <w:r w:rsidR="11EBE042" w:rsidRPr="0AF71021">
              <w:rPr>
                <w:color w:val="000000" w:themeColor="text1"/>
              </w:rPr>
              <w:t>82,472</w:t>
            </w:r>
          </w:p>
        </w:tc>
        <w:tc>
          <w:tcPr>
            <w:tcW w:w="0" w:type="auto"/>
            <w:vAlign w:val="bottom"/>
          </w:tcPr>
          <w:p w14:paraId="445A9240" w14:textId="3A83E47C" w:rsidR="00555B2B" w:rsidRDefault="53F538B8" w:rsidP="189EB430">
            <w:pPr>
              <w:spacing w:beforeAutospacing="1" w:afterAutospacing="1"/>
              <w:jc w:val="right"/>
              <w:rPr>
                <w:color w:val="000000" w:themeColor="text1"/>
              </w:rPr>
            </w:pPr>
            <w:r w:rsidRPr="189EB430">
              <w:rPr>
                <w:color w:val="000000" w:themeColor="text1"/>
              </w:rPr>
              <w:t xml:space="preserve"> </w:t>
            </w:r>
            <w:r w:rsidR="0406A4A4" w:rsidRPr="189EB430">
              <w:rPr>
                <w:color w:val="000000" w:themeColor="text1"/>
              </w:rPr>
              <w:t>451</w:t>
            </w:r>
            <w:r w:rsidR="7F172BF5" w:rsidRPr="189EB430">
              <w:rPr>
                <w:color w:val="000000" w:themeColor="text1"/>
              </w:rPr>
              <w:t>,</w:t>
            </w:r>
            <w:r w:rsidR="00A8BB9D" w:rsidRPr="189EB430">
              <w:rPr>
                <w:color w:val="000000" w:themeColor="text1"/>
              </w:rPr>
              <w:t>490.21</w:t>
            </w:r>
          </w:p>
        </w:tc>
      </w:tr>
    </w:tbl>
    <w:p w14:paraId="3E488E80"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3</w:t>
      </w:r>
      <w:r w:rsidRPr="0AF71021">
        <w:rPr>
          <w:rFonts w:asciiTheme="minorHAnsi" w:hAnsiTheme="minorHAnsi"/>
        </w:rPr>
        <w:fldChar w:fldCharType="end"/>
      </w:r>
      <w:r w:rsidRPr="0AF71021">
        <w:rPr>
          <w:rFonts w:asciiTheme="minorHAnsi" w:hAnsiTheme="minorHAnsi"/>
        </w:rPr>
        <w:t xml:space="preserve"> - Resources Made Available</w:t>
      </w:r>
    </w:p>
    <w:p w14:paraId="008FA71C" w14:textId="77777777" w:rsidR="00555B2B" w:rsidRDefault="00555B2B">
      <w:pPr>
        <w:spacing w:after="0" w:line="240" w:lineRule="auto"/>
        <w:rPr>
          <w:b/>
          <w:sz w:val="24"/>
          <w:szCs w:val="24"/>
        </w:rPr>
      </w:pPr>
    </w:p>
    <w:p w14:paraId="220A9226" w14:textId="77777777" w:rsidR="00555B2B" w:rsidRDefault="0058077A">
      <w:pPr>
        <w:spacing w:after="0" w:line="240" w:lineRule="auto"/>
        <w:rPr>
          <w:b/>
          <w:sz w:val="24"/>
          <w:szCs w:val="24"/>
        </w:rPr>
      </w:pPr>
      <w:r>
        <w:rPr>
          <w:b/>
          <w:sz w:val="24"/>
          <w:szCs w:val="24"/>
        </w:rPr>
        <w:t>Narrative</w:t>
      </w:r>
    </w:p>
    <w:p w14:paraId="0A957F65" w14:textId="3253D98B" w:rsidR="00555B2B" w:rsidRDefault="31D429DA" w:rsidP="189EB430">
      <w:pPr>
        <w:spacing w:beforeAutospacing="1" w:afterAutospacing="1"/>
        <w:rPr>
          <w:rFonts w:cs="Arial"/>
        </w:rPr>
      </w:pPr>
      <w:r w:rsidRPr="189EB430">
        <w:rPr>
          <w:rFonts w:cs="Arial"/>
        </w:rPr>
        <w:t xml:space="preserve">The City </w:t>
      </w:r>
      <w:r w:rsidR="642F9EF0" w:rsidRPr="189EB430">
        <w:rPr>
          <w:rFonts w:cs="Arial"/>
        </w:rPr>
        <w:t>was awarded $</w:t>
      </w:r>
      <w:r w:rsidRPr="189EB430">
        <w:rPr>
          <w:rFonts w:cs="Arial"/>
        </w:rPr>
        <w:t>1,</w:t>
      </w:r>
      <w:r w:rsidR="61D878B6" w:rsidRPr="189EB430">
        <w:rPr>
          <w:rFonts w:cs="Arial"/>
        </w:rPr>
        <w:t>384,540</w:t>
      </w:r>
      <w:r w:rsidRPr="189EB430">
        <w:rPr>
          <w:rFonts w:cs="Arial"/>
        </w:rPr>
        <w:t xml:space="preserve"> in CDBG funds, had access to $</w:t>
      </w:r>
      <w:r w:rsidR="6B3CC035" w:rsidRPr="189EB430">
        <w:rPr>
          <w:rFonts w:cs="Arial"/>
        </w:rPr>
        <w:t>1,723,651</w:t>
      </w:r>
      <w:r w:rsidR="59A1B6F5" w:rsidRPr="189EB430">
        <w:rPr>
          <w:rFonts w:cs="Arial"/>
        </w:rPr>
        <w:t>.02</w:t>
      </w:r>
      <w:r w:rsidRPr="189EB430">
        <w:rPr>
          <w:rFonts w:cs="Arial"/>
        </w:rPr>
        <w:t xml:space="preserve"> in unexpended funds from the end of the Previous Program Year, and $</w:t>
      </w:r>
      <w:r w:rsidR="17EFCBB9" w:rsidRPr="189EB430">
        <w:rPr>
          <w:rFonts w:cs="Arial"/>
        </w:rPr>
        <w:t>32,541</w:t>
      </w:r>
      <w:r w:rsidR="4E56F8C4" w:rsidRPr="189EB430">
        <w:rPr>
          <w:rFonts w:cs="Arial"/>
        </w:rPr>
        <w:t>.29</w:t>
      </w:r>
      <w:r w:rsidRPr="189EB430">
        <w:rPr>
          <w:rFonts w:cs="Arial"/>
        </w:rPr>
        <w:t xml:space="preserve"> in Program Income for a total of</w:t>
      </w:r>
      <w:r w:rsidR="19A4B070" w:rsidRPr="189EB430">
        <w:rPr>
          <w:rFonts w:cs="Arial"/>
        </w:rPr>
        <w:t xml:space="preserve"> </w:t>
      </w:r>
      <w:r w:rsidR="000C346A">
        <w:rPr>
          <w:rFonts w:cs="Arial"/>
        </w:rPr>
        <w:t>$</w:t>
      </w:r>
      <w:r w:rsidR="4FC05520" w:rsidRPr="189EB430">
        <w:rPr>
          <w:rFonts w:cs="Arial"/>
        </w:rPr>
        <w:t>3,1</w:t>
      </w:r>
      <w:r w:rsidR="6359173C" w:rsidRPr="189EB430">
        <w:rPr>
          <w:rFonts w:cs="Arial"/>
        </w:rPr>
        <w:t>40,732.31</w:t>
      </w:r>
      <w:r w:rsidRPr="189EB430">
        <w:rPr>
          <w:rFonts w:cs="Arial"/>
        </w:rPr>
        <w:t xml:space="preserve"> in CDBG resources available.</w:t>
      </w:r>
    </w:p>
    <w:p w14:paraId="141C393D" w14:textId="5D7B25FF" w:rsidR="189EB430" w:rsidRDefault="31D429DA" w:rsidP="189EB430">
      <w:pPr>
        <w:spacing w:beforeAutospacing="1" w:afterAutospacing="1"/>
        <w:rPr>
          <w:rFonts w:cs="Arial"/>
        </w:rPr>
      </w:pPr>
      <w:r w:rsidRPr="6D1FA27A">
        <w:rPr>
          <w:rFonts w:cs="Arial"/>
        </w:rPr>
        <w:t>Total CDBG funds spent in Program Year: $</w:t>
      </w:r>
      <w:r w:rsidR="0E653A52" w:rsidRPr="6D1FA27A">
        <w:rPr>
          <w:rFonts w:cs="Arial"/>
        </w:rPr>
        <w:t>1,322,972</w:t>
      </w:r>
      <w:r w:rsidR="2E46F714" w:rsidRPr="6D1FA27A">
        <w:rPr>
          <w:rFonts w:cs="Arial"/>
        </w:rPr>
        <w:t>.37</w:t>
      </w:r>
      <w:r w:rsidR="2DDCD2E6" w:rsidRPr="6D1FA27A">
        <w:rPr>
          <w:rFonts w:cs="Arial"/>
        </w:rPr>
        <w:t xml:space="preserve"> </w:t>
      </w:r>
      <w:r w:rsidR="00066316" w:rsidRPr="6D1FA27A">
        <w:rPr>
          <w:rFonts w:cs="Arial"/>
        </w:rPr>
        <w:t>and CARES</w:t>
      </w:r>
      <w:r w:rsidRPr="6D1FA27A">
        <w:rPr>
          <w:rFonts w:cs="Arial"/>
        </w:rPr>
        <w:t xml:space="preserve"> Act $</w:t>
      </w:r>
      <w:r w:rsidR="50C89A54" w:rsidRPr="6D1FA27A">
        <w:rPr>
          <w:rFonts w:cs="Arial"/>
        </w:rPr>
        <w:t>396,777.76</w:t>
      </w:r>
      <w:r w:rsidRPr="6D1FA27A">
        <w:rPr>
          <w:rFonts w:cs="Arial"/>
        </w:rPr>
        <w:t xml:space="preserve"> reported in the PR 23. These CARES activities include ED Direct Financial Assistance (18A), Other Public Improvements (03Z), </w:t>
      </w:r>
      <w:r w:rsidR="00066316" w:rsidRPr="6D1FA27A">
        <w:rPr>
          <w:rFonts w:cs="Arial"/>
        </w:rPr>
        <w:t>Childcare</w:t>
      </w:r>
      <w:r w:rsidRPr="6D1FA27A">
        <w:rPr>
          <w:rFonts w:cs="Arial"/>
        </w:rPr>
        <w:t xml:space="preserve"> Services (05L), and Subsistence Payment (05Q).</w:t>
      </w:r>
    </w:p>
    <w:p w14:paraId="05E53F0D" w14:textId="4856A76F" w:rsidR="00555B2B" w:rsidRDefault="489DAF52">
      <w:pPr>
        <w:spacing w:beforeAutospacing="1" w:afterAutospacing="1"/>
        <w:rPr>
          <w:rFonts w:cs="Arial"/>
        </w:rPr>
      </w:pPr>
      <w:r w:rsidRPr="189EB430">
        <w:rPr>
          <w:rFonts w:cs="Arial"/>
        </w:rPr>
        <w:t>The City received $</w:t>
      </w:r>
      <w:r w:rsidR="4097E9EF" w:rsidRPr="189EB430">
        <w:rPr>
          <w:rFonts w:cs="Arial"/>
        </w:rPr>
        <w:t>43,29</w:t>
      </w:r>
      <w:r w:rsidR="2C7C8BE5" w:rsidRPr="189EB430">
        <w:rPr>
          <w:rFonts w:cs="Arial"/>
        </w:rPr>
        <w:t>1.96</w:t>
      </w:r>
      <w:r w:rsidR="4097E9EF" w:rsidRPr="189EB430">
        <w:rPr>
          <w:rFonts w:cs="Arial"/>
        </w:rPr>
        <w:t xml:space="preserve"> in revolving loan funds which increases the total balance to $200,20</w:t>
      </w:r>
      <w:r w:rsidR="60A2E19F" w:rsidRPr="189EB430">
        <w:rPr>
          <w:rFonts w:cs="Arial"/>
        </w:rPr>
        <w:t>8.64</w:t>
      </w:r>
      <w:r w:rsidR="4D4FAD3F" w:rsidRPr="189EB430">
        <w:rPr>
          <w:rFonts w:cs="Arial"/>
        </w:rPr>
        <w:t xml:space="preserve"> to be utilized for </w:t>
      </w:r>
      <w:r w:rsidR="00066316" w:rsidRPr="189EB430">
        <w:rPr>
          <w:rFonts w:cs="Arial"/>
        </w:rPr>
        <w:t>low-income</w:t>
      </w:r>
      <w:r w:rsidR="4D4FAD3F" w:rsidRPr="189EB430">
        <w:rPr>
          <w:rFonts w:cs="Arial"/>
        </w:rPr>
        <w:t xml:space="preserve"> housing.</w:t>
      </w:r>
    </w:p>
    <w:p w14:paraId="46B081D1" w14:textId="4212BAEB" w:rsidR="00555B2B" w:rsidRDefault="31D429DA" w:rsidP="189EB430">
      <w:pPr>
        <w:spacing w:beforeAutospacing="1" w:afterAutospacing="1"/>
        <w:rPr>
          <w:rFonts w:cs="Arial"/>
        </w:rPr>
      </w:pPr>
      <w:r w:rsidRPr="189EB430">
        <w:rPr>
          <w:rFonts w:cs="Arial"/>
        </w:rPr>
        <w:t>The City disbursed a total of $</w:t>
      </w:r>
      <w:r w:rsidR="009BD0AE" w:rsidRPr="189EB430">
        <w:rPr>
          <w:rFonts w:cs="Arial"/>
        </w:rPr>
        <w:t xml:space="preserve"> </w:t>
      </w:r>
      <w:r w:rsidR="7D6168EE" w:rsidRPr="189EB430">
        <w:rPr>
          <w:rFonts w:cs="Arial"/>
        </w:rPr>
        <w:t>3</w:t>
      </w:r>
      <w:r w:rsidR="5AC07D5D" w:rsidRPr="189EB430">
        <w:rPr>
          <w:rFonts w:cs="Arial"/>
        </w:rPr>
        <w:t>51,562.06</w:t>
      </w:r>
      <w:r w:rsidR="7D6168EE" w:rsidRPr="189EB430">
        <w:rPr>
          <w:rFonts w:cs="Arial"/>
        </w:rPr>
        <w:t xml:space="preserve"> </w:t>
      </w:r>
      <w:r w:rsidRPr="189EB430">
        <w:rPr>
          <w:rFonts w:cs="Arial"/>
        </w:rPr>
        <w:t>in HOME funds in the Program Year (PR23 report)</w:t>
      </w:r>
      <w:r w:rsidR="3C42675B" w:rsidRPr="189EB430">
        <w:rPr>
          <w:rFonts w:cs="Arial"/>
        </w:rPr>
        <w:t xml:space="preserve"> and $99,928</w:t>
      </w:r>
      <w:r w:rsidR="229D65BE" w:rsidRPr="189EB430">
        <w:rPr>
          <w:rFonts w:cs="Arial"/>
        </w:rPr>
        <w:t>.15</w:t>
      </w:r>
      <w:r w:rsidR="3C42675B" w:rsidRPr="189EB430">
        <w:rPr>
          <w:rFonts w:cs="Arial"/>
        </w:rPr>
        <w:t xml:space="preserve"> in HOME-ARP admin funds. </w:t>
      </w:r>
      <w:r w:rsidRPr="189EB430">
        <w:rPr>
          <w:rFonts w:cs="Arial"/>
        </w:rPr>
        <w:t xml:space="preserve"> The City </w:t>
      </w:r>
      <w:r w:rsidR="358DD0A5" w:rsidRPr="189EB430">
        <w:rPr>
          <w:rFonts w:cs="Arial"/>
        </w:rPr>
        <w:t xml:space="preserve">was awarded </w:t>
      </w:r>
      <w:r w:rsidRPr="189EB430">
        <w:rPr>
          <w:rFonts w:cs="Arial"/>
        </w:rPr>
        <w:t>$</w:t>
      </w:r>
      <w:r w:rsidR="5E25F6AD" w:rsidRPr="189EB430">
        <w:rPr>
          <w:rFonts w:cs="Arial"/>
        </w:rPr>
        <w:t>782,472</w:t>
      </w:r>
      <w:r w:rsidRPr="189EB430">
        <w:rPr>
          <w:rFonts w:cs="Arial"/>
        </w:rPr>
        <w:t xml:space="preserve"> in HOME grant funds and</w:t>
      </w:r>
      <w:r w:rsidR="012C7EFF" w:rsidRPr="189EB430">
        <w:rPr>
          <w:rFonts w:cs="Arial"/>
        </w:rPr>
        <w:t xml:space="preserve"> </w:t>
      </w:r>
      <w:r w:rsidR="00066316" w:rsidRPr="189EB430">
        <w:rPr>
          <w:rFonts w:cs="Arial"/>
        </w:rPr>
        <w:t xml:space="preserve">an additional </w:t>
      </w:r>
      <w:r w:rsidR="000C346A">
        <w:rPr>
          <w:rFonts w:cs="Arial"/>
        </w:rPr>
        <w:t>$</w:t>
      </w:r>
      <w:r w:rsidR="00066316" w:rsidRPr="189EB430">
        <w:rPr>
          <w:rFonts w:cs="Arial"/>
        </w:rPr>
        <w:t>2,412,874</w:t>
      </w:r>
      <w:r w:rsidRPr="189EB430">
        <w:rPr>
          <w:rFonts w:cs="Arial"/>
        </w:rPr>
        <w:t xml:space="preserve"> in HOME ARP funds, had access </w:t>
      </w:r>
      <w:r w:rsidR="00066316" w:rsidRPr="189EB430">
        <w:rPr>
          <w:rFonts w:cs="Arial"/>
        </w:rPr>
        <w:t xml:space="preserve">to </w:t>
      </w:r>
      <w:r w:rsidR="000C346A">
        <w:rPr>
          <w:rFonts w:cs="Arial"/>
        </w:rPr>
        <w:t>$</w:t>
      </w:r>
      <w:r w:rsidR="00066316" w:rsidRPr="189EB430">
        <w:rPr>
          <w:rFonts w:cs="Arial"/>
        </w:rPr>
        <w:t>1,544,440</w:t>
      </w:r>
      <w:r w:rsidRPr="189EB430">
        <w:rPr>
          <w:rFonts w:cs="Arial"/>
        </w:rPr>
        <w:t xml:space="preserve"> unexpended from the end of the previous program year for a total of $</w:t>
      </w:r>
      <w:r w:rsidR="39105F2D" w:rsidRPr="189EB430">
        <w:rPr>
          <w:rFonts w:cs="Arial"/>
        </w:rPr>
        <w:t>4,739,786</w:t>
      </w:r>
      <w:r w:rsidR="1A011227" w:rsidRPr="189EB430">
        <w:rPr>
          <w:rFonts w:cs="Arial"/>
        </w:rPr>
        <w:t xml:space="preserve"> </w:t>
      </w:r>
      <w:r w:rsidRPr="189EB430">
        <w:rPr>
          <w:rFonts w:cs="Arial"/>
        </w:rPr>
        <w:t>in HOME grant funds.</w:t>
      </w:r>
    </w:p>
    <w:p w14:paraId="7C7117EF" w14:textId="77777777" w:rsidR="00555B2B" w:rsidRDefault="00555B2B">
      <w:pPr>
        <w:spacing w:after="0" w:line="240" w:lineRule="auto"/>
        <w:rPr>
          <w:b/>
          <w:sz w:val="24"/>
          <w:szCs w:val="24"/>
        </w:rPr>
      </w:pPr>
    </w:p>
    <w:p w14:paraId="19B02EA7" w14:textId="77777777" w:rsidR="00555B2B" w:rsidRDefault="0058077A">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40"/>
        <w:gridCol w:w="2340"/>
        <w:gridCol w:w="2341"/>
      </w:tblGrid>
      <w:tr w:rsidR="00555B2B" w14:paraId="2CC8AFF3" w14:textId="77777777">
        <w:trPr>
          <w:cantSplit/>
        </w:trPr>
        <w:tc>
          <w:tcPr>
            <w:tcW w:w="2394" w:type="dxa"/>
          </w:tcPr>
          <w:p w14:paraId="16FA75D7" w14:textId="77777777" w:rsidR="00555B2B" w:rsidRDefault="0058077A">
            <w:pPr>
              <w:keepNext/>
              <w:widowControl w:val="0"/>
              <w:spacing w:after="0" w:line="240" w:lineRule="auto"/>
              <w:jc w:val="center"/>
              <w:rPr>
                <w:rFonts w:cs="Arial"/>
                <w:b/>
              </w:rPr>
            </w:pPr>
            <w:r>
              <w:rPr>
                <w:rFonts w:cs="Arial"/>
                <w:b/>
              </w:rPr>
              <w:t>Target Area</w:t>
            </w:r>
          </w:p>
        </w:tc>
        <w:tc>
          <w:tcPr>
            <w:tcW w:w="2394" w:type="dxa"/>
          </w:tcPr>
          <w:p w14:paraId="21878349" w14:textId="77777777" w:rsidR="00555B2B" w:rsidRDefault="0058077A">
            <w:pPr>
              <w:keepNext/>
              <w:widowControl w:val="0"/>
              <w:spacing w:after="0" w:line="240" w:lineRule="auto"/>
              <w:jc w:val="center"/>
              <w:rPr>
                <w:rFonts w:cs="Arial"/>
                <w:b/>
              </w:rPr>
            </w:pPr>
            <w:r>
              <w:rPr>
                <w:rFonts w:cs="Arial"/>
                <w:b/>
              </w:rPr>
              <w:t>Planned Percentage of Allocation</w:t>
            </w:r>
          </w:p>
        </w:tc>
        <w:tc>
          <w:tcPr>
            <w:tcW w:w="2394" w:type="dxa"/>
          </w:tcPr>
          <w:p w14:paraId="66C45A9D" w14:textId="77777777" w:rsidR="00555B2B" w:rsidRDefault="0058077A">
            <w:pPr>
              <w:keepNext/>
              <w:spacing w:after="0" w:line="240" w:lineRule="auto"/>
              <w:jc w:val="center"/>
              <w:rPr>
                <w:rFonts w:cs="Arial"/>
                <w:b/>
              </w:rPr>
            </w:pPr>
            <w:r>
              <w:rPr>
                <w:rFonts w:cs="Arial"/>
                <w:b/>
              </w:rPr>
              <w:t>Actual Percentage of Allocation</w:t>
            </w:r>
          </w:p>
        </w:tc>
        <w:tc>
          <w:tcPr>
            <w:tcW w:w="2394" w:type="dxa"/>
          </w:tcPr>
          <w:p w14:paraId="15D523BC" w14:textId="77777777" w:rsidR="00555B2B" w:rsidRDefault="0058077A">
            <w:pPr>
              <w:keepNext/>
              <w:widowControl w:val="0"/>
              <w:spacing w:after="0" w:line="240" w:lineRule="auto"/>
              <w:jc w:val="center"/>
              <w:rPr>
                <w:rFonts w:cs="Arial"/>
                <w:b/>
              </w:rPr>
            </w:pPr>
            <w:r>
              <w:rPr>
                <w:rFonts w:cs="Arial"/>
                <w:b/>
              </w:rPr>
              <w:t>Narrative Description</w:t>
            </w:r>
          </w:p>
        </w:tc>
      </w:tr>
      <w:tr w:rsidR="00555B2B" w14:paraId="6894C2DF" w14:textId="77777777">
        <w:trPr>
          <w:cantSplit/>
        </w:trPr>
        <w:tc>
          <w:tcPr>
            <w:tcW w:w="0" w:type="auto"/>
            <w:vAlign w:val="bottom"/>
          </w:tcPr>
          <w:p w14:paraId="2A12D026" w14:textId="77777777" w:rsidR="00555B2B" w:rsidRDefault="0058077A">
            <w:pPr>
              <w:spacing w:beforeAutospacing="1" w:afterAutospacing="1"/>
            </w:pPr>
            <w:r>
              <w:rPr>
                <w:color w:val="000000"/>
              </w:rPr>
              <w:t>CDBG Eligible</w:t>
            </w:r>
          </w:p>
        </w:tc>
        <w:tc>
          <w:tcPr>
            <w:tcW w:w="0" w:type="auto"/>
            <w:vAlign w:val="bottom"/>
          </w:tcPr>
          <w:p w14:paraId="2EC81799" w14:textId="77777777" w:rsidR="00555B2B" w:rsidRDefault="0058077A">
            <w:pPr>
              <w:spacing w:beforeAutospacing="1" w:afterAutospacing="1"/>
            </w:pPr>
            <w:r>
              <w:rPr>
                <w:color w:val="000000"/>
              </w:rPr>
              <w:t xml:space="preserve"> </w:t>
            </w:r>
          </w:p>
        </w:tc>
        <w:tc>
          <w:tcPr>
            <w:tcW w:w="0" w:type="auto"/>
            <w:vAlign w:val="bottom"/>
          </w:tcPr>
          <w:p w14:paraId="4D3E2199" w14:textId="77777777" w:rsidR="00555B2B" w:rsidRDefault="0058077A">
            <w:pPr>
              <w:spacing w:beforeAutospacing="1" w:afterAutospacing="1"/>
            </w:pPr>
            <w:r>
              <w:rPr>
                <w:color w:val="000000"/>
              </w:rPr>
              <w:t xml:space="preserve"> </w:t>
            </w:r>
          </w:p>
        </w:tc>
        <w:tc>
          <w:tcPr>
            <w:tcW w:w="0" w:type="auto"/>
            <w:vAlign w:val="bottom"/>
          </w:tcPr>
          <w:p w14:paraId="639BBC54" w14:textId="77777777" w:rsidR="00555B2B" w:rsidRDefault="0058077A">
            <w:pPr>
              <w:spacing w:beforeAutospacing="1" w:afterAutospacing="1"/>
            </w:pPr>
            <w:r>
              <w:rPr>
                <w:color w:val="000000"/>
              </w:rPr>
              <w:t xml:space="preserve"> </w:t>
            </w:r>
          </w:p>
        </w:tc>
      </w:tr>
      <w:tr w:rsidR="00555B2B" w14:paraId="24FBE61D" w14:textId="77777777">
        <w:trPr>
          <w:cantSplit/>
        </w:trPr>
        <w:tc>
          <w:tcPr>
            <w:tcW w:w="0" w:type="auto"/>
            <w:vAlign w:val="bottom"/>
          </w:tcPr>
          <w:p w14:paraId="2E04D57B" w14:textId="77777777" w:rsidR="00555B2B" w:rsidRDefault="0058077A">
            <w:pPr>
              <w:spacing w:beforeAutospacing="1" w:afterAutospacing="1"/>
            </w:pPr>
            <w:r>
              <w:rPr>
                <w:color w:val="000000"/>
              </w:rPr>
              <w:t>Citywide</w:t>
            </w:r>
          </w:p>
        </w:tc>
        <w:tc>
          <w:tcPr>
            <w:tcW w:w="0" w:type="auto"/>
            <w:vAlign w:val="bottom"/>
          </w:tcPr>
          <w:p w14:paraId="0A7E9BD0" w14:textId="77777777" w:rsidR="00555B2B" w:rsidRDefault="0058077A">
            <w:pPr>
              <w:spacing w:beforeAutospacing="1" w:afterAutospacing="1"/>
            </w:pPr>
            <w:r>
              <w:rPr>
                <w:color w:val="000000"/>
              </w:rPr>
              <w:t xml:space="preserve"> </w:t>
            </w:r>
          </w:p>
        </w:tc>
        <w:tc>
          <w:tcPr>
            <w:tcW w:w="0" w:type="auto"/>
            <w:vAlign w:val="bottom"/>
          </w:tcPr>
          <w:p w14:paraId="362C4305" w14:textId="77777777" w:rsidR="00555B2B" w:rsidRDefault="0058077A">
            <w:pPr>
              <w:spacing w:beforeAutospacing="1" w:afterAutospacing="1"/>
            </w:pPr>
            <w:r>
              <w:rPr>
                <w:color w:val="000000"/>
              </w:rPr>
              <w:t xml:space="preserve"> </w:t>
            </w:r>
          </w:p>
        </w:tc>
        <w:tc>
          <w:tcPr>
            <w:tcW w:w="0" w:type="auto"/>
            <w:vAlign w:val="bottom"/>
          </w:tcPr>
          <w:p w14:paraId="5B13E318" w14:textId="77777777" w:rsidR="00555B2B" w:rsidRDefault="0058077A">
            <w:pPr>
              <w:spacing w:beforeAutospacing="1" w:afterAutospacing="1"/>
            </w:pPr>
            <w:r>
              <w:rPr>
                <w:color w:val="000000"/>
              </w:rPr>
              <w:t xml:space="preserve"> </w:t>
            </w:r>
          </w:p>
        </w:tc>
      </w:tr>
    </w:tbl>
    <w:p w14:paraId="6EB7AA91"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4</w:t>
      </w:r>
      <w:r w:rsidRPr="0AF71021">
        <w:rPr>
          <w:rFonts w:asciiTheme="minorHAnsi" w:hAnsiTheme="minorHAnsi"/>
        </w:rPr>
        <w:fldChar w:fldCharType="end"/>
      </w:r>
      <w:r w:rsidRPr="0AF71021">
        <w:rPr>
          <w:rFonts w:asciiTheme="minorHAnsi" w:hAnsiTheme="minorHAnsi"/>
        </w:rPr>
        <w:t xml:space="preserve"> – Identify the geographic distribution and location of investments</w:t>
      </w:r>
    </w:p>
    <w:p w14:paraId="17177A2F" w14:textId="77777777" w:rsidR="00555B2B" w:rsidRDefault="00555B2B">
      <w:pPr>
        <w:keepNext/>
        <w:widowControl w:val="0"/>
        <w:spacing w:line="204" w:lineRule="auto"/>
        <w:rPr>
          <w:b/>
          <w:sz w:val="24"/>
          <w:szCs w:val="24"/>
        </w:rPr>
      </w:pPr>
    </w:p>
    <w:p w14:paraId="7AB71A23" w14:textId="77777777" w:rsidR="00555B2B" w:rsidRDefault="0058077A">
      <w:pPr>
        <w:widowControl w:val="0"/>
        <w:spacing w:line="204" w:lineRule="auto"/>
        <w:rPr>
          <w:b/>
          <w:sz w:val="24"/>
          <w:szCs w:val="24"/>
        </w:rPr>
      </w:pPr>
      <w:r>
        <w:rPr>
          <w:b/>
          <w:sz w:val="24"/>
          <w:szCs w:val="24"/>
        </w:rPr>
        <w:t>Narrative</w:t>
      </w:r>
    </w:p>
    <w:p w14:paraId="5D72B257" w14:textId="3C98294A" w:rsidR="00555B2B" w:rsidRDefault="31D429DA" w:rsidP="189EB430">
      <w:pPr>
        <w:widowControl w:val="0"/>
        <w:spacing w:beforeAutospacing="1" w:afterAutospacing="1"/>
        <w:rPr>
          <w:rFonts w:cs="Arial"/>
        </w:rPr>
      </w:pPr>
      <w:r w:rsidRPr="189EB430">
        <w:rPr>
          <w:rFonts w:cs="Arial"/>
        </w:rPr>
        <w:t>In accordance with the successful past targeting of federal funds in identified low-moderate income areas, the City made available a percentage of the CDBG and HOME funds for affordable housing and activities located i</w:t>
      </w:r>
      <w:r w:rsidR="00066316">
        <w:rPr>
          <w:rFonts w:cs="Arial"/>
        </w:rPr>
        <w:t xml:space="preserve">n </w:t>
      </w:r>
      <w:r w:rsidRPr="189EB430">
        <w:rPr>
          <w:rFonts w:cs="Arial"/>
          <w:b/>
          <w:bCs/>
        </w:rPr>
        <w:t xml:space="preserve">CDBG Areas and various parts </w:t>
      </w:r>
      <w:r w:rsidRPr="189EB430">
        <w:rPr>
          <w:rFonts w:cs="Arial"/>
        </w:rPr>
        <w:t xml:space="preserve">of the City. The City is predominately composed of low-moderate income </w:t>
      </w:r>
      <w:r w:rsidR="00066316" w:rsidRPr="189EB430">
        <w:rPr>
          <w:rFonts w:cs="Arial"/>
        </w:rPr>
        <w:t>areas,</w:t>
      </w:r>
      <w:r w:rsidRPr="189EB430">
        <w:rPr>
          <w:rFonts w:cs="Arial"/>
        </w:rPr>
        <w:t xml:space="preserve"> so the funds are</w:t>
      </w:r>
      <w:r w:rsidR="2DDCD2E6" w:rsidRPr="189EB430">
        <w:rPr>
          <w:rFonts w:cs="Arial"/>
        </w:rPr>
        <w:t xml:space="preserve"> </w:t>
      </w:r>
      <w:r w:rsidRPr="189EB430">
        <w:rPr>
          <w:rFonts w:cs="Arial"/>
        </w:rPr>
        <w:t>disbursed throughout the City due to these demographics. When developing and implementing activities and projects an analysis of the following is reviewed: number and percentage of low-income residents, number and percentage of occupied dwelling units needing rehabilitation or reconstruction, opportunities for investment (i.e., availability of infill lots), condition of infrastructure, availability, and condition of recreational areas, past target area designation, the existence of active neighborhood associations, the interest of residents in forming neighborhood associations, and other information determined by the City to be relevant to the concentrating of neighborhood revitalization funds.</w:t>
      </w:r>
    </w:p>
    <w:p w14:paraId="143096BD" w14:textId="50E00878" w:rsidR="00555B2B" w:rsidRDefault="0058077A" w:rsidP="0AF71021">
      <w:pPr>
        <w:widowControl w:val="0"/>
        <w:spacing w:beforeAutospacing="1" w:afterAutospacing="1"/>
        <w:rPr>
          <w:rFonts w:cs="Arial"/>
        </w:rPr>
      </w:pPr>
      <w:r w:rsidRPr="0AF71021">
        <w:rPr>
          <w:rFonts w:cs="Arial"/>
        </w:rPr>
        <w:t xml:space="preserve">HOME projects are carried out in various parts of the City neighborhoods for extremely low, low, and moderate-income households. </w:t>
      </w:r>
      <w:r w:rsidR="3DD96C97" w:rsidRPr="0AF71021">
        <w:rPr>
          <w:rFonts w:cs="Arial"/>
        </w:rPr>
        <w:t xml:space="preserve">The HOME statute provides for a reduction of the matching contribution under three conditions: 1) fiscal distress; 2) severe fiscal distress; and 3) for Presidentially-declared major </w:t>
      </w:r>
      <w:r w:rsidR="7CDA2487" w:rsidRPr="0AF71021">
        <w:rPr>
          <w:rFonts w:cs="Arial"/>
        </w:rPr>
        <w:t>disasters</w:t>
      </w:r>
      <w:r w:rsidR="3DD96C97" w:rsidRPr="0AF71021">
        <w:rPr>
          <w:rFonts w:cs="Arial"/>
        </w:rPr>
        <w:t xml:space="preserve"> covered under the Stafford Act.  HUD has previously determined that the City of Waco has been in severe fiscal distress and as a result received a 100 percent reduction in match. This reduction was effective for PY 2022.  However, for PY 2023, HUD has informed the City that its fiscal situation has improved and only meets one of HUD’s criteria for fiscal distress and will only receive a 50% match reduction.</w:t>
      </w:r>
    </w:p>
    <w:p w14:paraId="2713900D" w14:textId="77777777" w:rsidR="00555B2B" w:rsidRDefault="0058077A">
      <w:pPr>
        <w:pageBreakBefore/>
        <w:widowControl w:val="0"/>
        <w:spacing w:line="240" w:lineRule="auto"/>
        <w:rPr>
          <w:b/>
          <w:sz w:val="24"/>
          <w:szCs w:val="24"/>
        </w:rPr>
      </w:pPr>
      <w:r>
        <w:rPr>
          <w:b/>
          <w:sz w:val="24"/>
          <w:szCs w:val="24"/>
        </w:rPr>
        <w:t>Leveraging</w:t>
      </w:r>
    </w:p>
    <w:p w14:paraId="348A0FD3" w14:textId="7AF8BBA8" w:rsidR="00555B2B" w:rsidRDefault="0058077A" w:rsidP="0AF71021">
      <w:pPr>
        <w:widowControl w:val="0"/>
        <w:spacing w:line="240" w:lineRule="auto"/>
        <w:rPr>
          <w:b/>
          <w:bCs/>
          <w:sz w:val="24"/>
          <w:szCs w:val="24"/>
        </w:rPr>
      </w:pPr>
      <w:r w:rsidRPr="0AF71021">
        <w:rPr>
          <w:b/>
          <w:bCs/>
          <w:sz w:val="24"/>
          <w:szCs w:val="24"/>
        </w:rPr>
        <w:t xml:space="preserve">Explain how federal </w:t>
      </w:r>
      <w:r w:rsidR="7CDA2487" w:rsidRPr="0AF71021">
        <w:rPr>
          <w:b/>
          <w:bCs/>
          <w:sz w:val="24"/>
          <w:szCs w:val="24"/>
        </w:rPr>
        <w:t>funds leveraged</w:t>
      </w:r>
      <w:r w:rsidRPr="0AF71021">
        <w:rPr>
          <w:b/>
          <w:bCs/>
          <w:sz w:val="24"/>
          <w:szCs w:val="24"/>
        </w:rPr>
        <w:t xml:space="preserve"> additional resources (private, </w:t>
      </w:r>
      <w:r w:rsidR="00066316" w:rsidRPr="0AF71021">
        <w:rPr>
          <w:b/>
          <w:bCs/>
          <w:sz w:val="24"/>
          <w:szCs w:val="24"/>
        </w:rPr>
        <w:t>state,</w:t>
      </w:r>
      <w:r w:rsidRPr="0AF71021">
        <w:rPr>
          <w:b/>
          <w:bCs/>
          <w:sz w:val="24"/>
          <w:szCs w:val="24"/>
        </w:rPr>
        <w:t xml:space="preserve"> and local funds), including a description of how matching requirements were satisfied, as well as how any publicly owned land or property located within the jurisdiction that were used to address the needs identified in the plan.</w:t>
      </w:r>
    </w:p>
    <w:p w14:paraId="2F8DE7F9" w14:textId="77777777" w:rsidR="00555B2B" w:rsidRDefault="0058077A">
      <w:pPr>
        <w:widowControl w:val="0"/>
        <w:spacing w:beforeAutospacing="1" w:afterAutospacing="1"/>
        <w:rPr>
          <w:sz w:val="24"/>
          <w:szCs w:val="24"/>
        </w:rPr>
      </w:pPr>
      <w:r>
        <w:rPr>
          <w:sz w:val="24"/>
          <w:szCs w:val="24"/>
        </w:rPr>
        <w:t>Development and planning of programs eligible to receive federal funding were approached with the concept of maximizing the extent of the federal dollar commitment with the least actual dollar commitment required to make the project feasible. Leveraging was also accomplished through the coordination of programs with non-profit and for-profit partners and volunteer work groups providing labor and assistance.  </w:t>
      </w:r>
    </w:p>
    <w:p w14:paraId="7208F885" w14:textId="77777777" w:rsidR="00555B2B" w:rsidRDefault="0058077A">
      <w:pPr>
        <w:widowControl w:val="0"/>
        <w:spacing w:beforeAutospacing="1" w:afterAutospacing="1"/>
        <w:rPr>
          <w:sz w:val="24"/>
          <w:szCs w:val="24"/>
        </w:rPr>
      </w:pPr>
      <w:r>
        <w:rPr>
          <w:sz w:val="24"/>
          <w:szCs w:val="24"/>
        </w:rPr>
        <w:t>Publicly owned land or property was not used to address the needs identified in the plan.</w:t>
      </w:r>
    </w:p>
    <w:p w14:paraId="5D3307F1" w14:textId="77777777" w:rsidR="00555B2B" w:rsidRDefault="1DEFB071" w:rsidP="3D87D998">
      <w:pPr>
        <w:widowControl w:val="0"/>
        <w:spacing w:beforeAutospacing="1" w:afterAutospacing="1"/>
        <w:rPr>
          <w:sz w:val="24"/>
          <w:szCs w:val="24"/>
        </w:rPr>
      </w:pPr>
      <w:r w:rsidRPr="00210DF6">
        <w:rPr>
          <w:sz w:val="24"/>
          <w:szCs w:val="24"/>
        </w:rPr>
        <w:t>Most of the housing programs within the City of Waco are offered through partnerships</w:t>
      </w:r>
      <w:r w:rsidRPr="3D87D998">
        <w:rPr>
          <w:sz w:val="24"/>
          <w:szCs w:val="24"/>
        </w:rPr>
        <w:t>. The partnerships are as follows:</w:t>
      </w:r>
    </w:p>
    <w:p w14:paraId="09C48BAF" w14:textId="4A4B0885" w:rsidR="00555B2B" w:rsidRDefault="1DEFB071" w:rsidP="3D87D998">
      <w:pPr>
        <w:widowControl w:val="0"/>
        <w:numPr>
          <w:ilvl w:val="0"/>
          <w:numId w:val="1"/>
        </w:numPr>
        <w:spacing w:beforeAutospacing="1" w:afterAutospacing="1"/>
        <w:rPr>
          <w:sz w:val="24"/>
          <w:szCs w:val="24"/>
        </w:rPr>
      </w:pPr>
      <w:r w:rsidRPr="3D87D998">
        <w:rPr>
          <w:sz w:val="24"/>
          <w:szCs w:val="24"/>
        </w:rPr>
        <w:t xml:space="preserve">NeighborWorks Waco, Inc. brings $ </w:t>
      </w:r>
      <w:r w:rsidR="00210DF6">
        <w:rPr>
          <w:sz w:val="24"/>
          <w:szCs w:val="24"/>
        </w:rPr>
        <w:t>2</w:t>
      </w:r>
      <w:r w:rsidR="0685BF12" w:rsidRPr="3D87D998">
        <w:rPr>
          <w:sz w:val="24"/>
          <w:szCs w:val="24"/>
        </w:rPr>
        <w:t>25,000</w:t>
      </w:r>
      <w:r w:rsidRPr="3D87D998">
        <w:rPr>
          <w:sz w:val="24"/>
          <w:szCs w:val="24"/>
        </w:rPr>
        <w:t xml:space="preserve"> in corporate funding.</w:t>
      </w:r>
    </w:p>
    <w:p w14:paraId="4D8A83FB" w14:textId="52E8B781" w:rsidR="00555B2B" w:rsidRDefault="1DEFB071" w:rsidP="3D87D998">
      <w:pPr>
        <w:widowControl w:val="0"/>
        <w:numPr>
          <w:ilvl w:val="0"/>
          <w:numId w:val="1"/>
        </w:numPr>
        <w:spacing w:beforeAutospacing="1" w:afterAutospacing="1"/>
        <w:rPr>
          <w:sz w:val="24"/>
          <w:szCs w:val="24"/>
        </w:rPr>
      </w:pPr>
      <w:r w:rsidRPr="3D87D998">
        <w:rPr>
          <w:sz w:val="24"/>
          <w:szCs w:val="24"/>
        </w:rPr>
        <w:t xml:space="preserve">The City's Lot Sale program has allowed contractors to purchase City lots at a reduced cost. The program has assisted to encourage new </w:t>
      </w:r>
      <w:r w:rsidR="00066316">
        <w:rPr>
          <w:sz w:val="24"/>
          <w:szCs w:val="24"/>
        </w:rPr>
        <w:t>home construction</w:t>
      </w:r>
      <w:r w:rsidRPr="3D87D998">
        <w:rPr>
          <w:sz w:val="24"/>
          <w:szCs w:val="24"/>
        </w:rPr>
        <w:t xml:space="preserve"> in the inner City on vacant lots.</w:t>
      </w:r>
    </w:p>
    <w:p w14:paraId="55F6172A" w14:textId="77777777" w:rsidR="00555B2B" w:rsidRDefault="0058077A" w:rsidP="167D521D">
      <w:pPr>
        <w:widowControl w:val="0"/>
        <w:numPr>
          <w:ilvl w:val="0"/>
          <w:numId w:val="1"/>
        </w:numPr>
        <w:spacing w:beforeAutospacing="1" w:afterAutospacing="1"/>
        <w:rPr>
          <w:sz w:val="24"/>
          <w:szCs w:val="24"/>
        </w:rPr>
      </w:pPr>
      <w:r w:rsidRPr="167D521D">
        <w:rPr>
          <w:sz w:val="24"/>
          <w:szCs w:val="24"/>
        </w:rPr>
        <w:t>Public service programs geared toward assisting low-income, the homeless, and those at risk of being homeless were funded with Community Development Block Grant (CDBG) funds in conjunction with local funds, state funds, private funds, and other federal funding.</w:t>
      </w:r>
    </w:p>
    <w:p w14:paraId="5CE37E13" w14:textId="77777777" w:rsidR="00555B2B" w:rsidRDefault="0058077A" w:rsidP="167D521D">
      <w:pPr>
        <w:widowControl w:val="0"/>
        <w:numPr>
          <w:ilvl w:val="0"/>
          <w:numId w:val="1"/>
        </w:numPr>
        <w:spacing w:beforeAutospacing="1" w:afterAutospacing="1"/>
        <w:rPr>
          <w:sz w:val="24"/>
          <w:szCs w:val="24"/>
        </w:rPr>
      </w:pPr>
      <w:r w:rsidRPr="167D521D">
        <w:rPr>
          <w:sz w:val="24"/>
          <w:szCs w:val="24"/>
        </w:rPr>
        <w:t>My Brother’s Keeper leverages grant funds with private donations, the Texas Workforce Commission, and Continuum of Care grant funds.</w:t>
      </w:r>
    </w:p>
    <w:p w14:paraId="1E68743F" w14:textId="77777777" w:rsidR="00555B2B" w:rsidRDefault="0058077A" w:rsidP="167D521D">
      <w:pPr>
        <w:widowControl w:val="0"/>
        <w:numPr>
          <w:ilvl w:val="0"/>
          <w:numId w:val="1"/>
        </w:numPr>
        <w:spacing w:beforeAutospacing="1" w:afterAutospacing="1"/>
        <w:rPr>
          <w:sz w:val="24"/>
          <w:szCs w:val="24"/>
        </w:rPr>
      </w:pPr>
      <w:r w:rsidRPr="167D521D">
        <w:rPr>
          <w:sz w:val="24"/>
          <w:szCs w:val="24"/>
        </w:rPr>
        <w:t>CDBG funds leveraged local government funds through the Lead is Preventable Program.</w:t>
      </w:r>
    </w:p>
    <w:p w14:paraId="554553CF" w14:textId="73966D47" w:rsidR="4FCBBFA0" w:rsidRDefault="5EDDAC5F" w:rsidP="167D521D">
      <w:pPr>
        <w:widowControl w:val="0"/>
        <w:numPr>
          <w:ilvl w:val="0"/>
          <w:numId w:val="1"/>
        </w:numPr>
        <w:spacing w:beforeAutospacing="1" w:afterAutospacing="1"/>
        <w:rPr>
          <w:rFonts w:cs="Calibri"/>
          <w:sz w:val="24"/>
          <w:szCs w:val="24"/>
        </w:rPr>
      </w:pPr>
      <w:r w:rsidRPr="189EB430">
        <w:rPr>
          <w:rFonts w:ascii="system-ui" w:eastAsia="system-ui" w:hAnsi="system-ui" w:cs="system-ui"/>
          <w:color w:val="374151"/>
          <w:sz w:val="24"/>
          <w:szCs w:val="24"/>
        </w:rPr>
        <w:t xml:space="preserve">The utilization of ARPA funds involved collaboration with </w:t>
      </w:r>
      <w:r w:rsidR="6CB34E15" w:rsidRPr="189EB430">
        <w:rPr>
          <w:rFonts w:ascii="system-ui" w:eastAsia="system-ui" w:hAnsi="system-ui" w:cs="system-ui"/>
          <w:color w:val="374151"/>
          <w:sz w:val="24"/>
          <w:szCs w:val="24"/>
        </w:rPr>
        <w:t xml:space="preserve">local </w:t>
      </w:r>
      <w:r w:rsidRPr="189EB430">
        <w:rPr>
          <w:rFonts w:ascii="system-ui" w:eastAsia="system-ui" w:hAnsi="system-ui" w:cs="system-ui"/>
          <w:color w:val="374151"/>
          <w:sz w:val="24"/>
          <w:szCs w:val="24"/>
        </w:rPr>
        <w:t>entities, including the African American Chamber of Commerce, Hispanic Chamber of Commerce, StartUp Waco, and Grassroots CDC. This partnership enhance</w:t>
      </w:r>
      <w:r w:rsidR="3F444FD1" w:rsidRPr="189EB430">
        <w:rPr>
          <w:rFonts w:ascii="system-ui" w:eastAsia="system-ui" w:hAnsi="system-ui" w:cs="system-ui"/>
          <w:color w:val="374151"/>
          <w:sz w:val="24"/>
          <w:szCs w:val="24"/>
        </w:rPr>
        <w:t>d</w:t>
      </w:r>
      <w:r w:rsidRPr="189EB430">
        <w:rPr>
          <w:rFonts w:ascii="system-ui" w:eastAsia="system-ui" w:hAnsi="system-ui" w:cs="system-ui"/>
          <w:color w:val="374151"/>
          <w:sz w:val="24"/>
          <w:szCs w:val="24"/>
        </w:rPr>
        <w:t xml:space="preserve"> economic opportunities for 116 small businesses.</w:t>
      </w:r>
    </w:p>
    <w:p w14:paraId="28406A75" w14:textId="77777777" w:rsidR="00555B2B" w:rsidRDefault="00555B2B">
      <w:pPr>
        <w:widowControl w:val="0"/>
        <w:spacing w:after="0" w:line="240" w:lineRule="auto"/>
        <w:rPr>
          <w:sz w:val="24"/>
          <w:szCs w:val="24"/>
        </w:rPr>
      </w:pPr>
    </w:p>
    <w:p w14:paraId="4A40CE9D" w14:textId="77777777" w:rsidR="00555B2B" w:rsidRDefault="00555B2B">
      <w:pPr>
        <w:spacing w:after="0" w:line="240" w:lineRule="auto"/>
        <w:rPr>
          <w:b/>
        </w:rPr>
      </w:pPr>
    </w:p>
    <w:p w14:paraId="33433B25" w14:textId="77777777" w:rsidR="00555B2B" w:rsidRDefault="00555B2B">
      <w:pPr>
        <w:widowControl w:val="0"/>
        <w:spacing w:line="204" w:lineRule="auto"/>
        <w:rPr>
          <w:rFonts w:cs="Arial"/>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gridCol w:w="876"/>
      </w:tblGrid>
      <w:tr w:rsidR="00555B2B" w14:paraId="13EB9685" w14:textId="77777777" w:rsidTr="0AF71021">
        <w:trPr>
          <w:cantSplit/>
          <w:trHeight w:val="300"/>
          <w:tblHeader/>
        </w:trPr>
        <w:tc>
          <w:tcPr>
            <w:tcW w:w="9350" w:type="dxa"/>
            <w:gridSpan w:val="2"/>
          </w:tcPr>
          <w:p w14:paraId="341A609E" w14:textId="77777777" w:rsidR="00A50E4F" w:rsidRDefault="00A50E4F"/>
        </w:tc>
      </w:tr>
      <w:tr w:rsidR="00555B2B" w14:paraId="79E7280B" w14:textId="77777777" w:rsidTr="0AF71021">
        <w:trPr>
          <w:cantSplit/>
        </w:trPr>
        <w:tc>
          <w:tcPr>
            <w:tcW w:w="8474" w:type="dxa"/>
            <w:vAlign w:val="bottom"/>
          </w:tcPr>
          <w:p w14:paraId="4FFA2988" w14:textId="77777777" w:rsidR="00555B2B" w:rsidRDefault="0058077A">
            <w:pPr>
              <w:spacing w:beforeAutospacing="1" w:afterAutospacing="1"/>
            </w:pPr>
            <w:r>
              <w:rPr>
                <w:color w:val="000000"/>
              </w:rPr>
              <w:t>1. Excess match from prior Federal fiscal year</w:t>
            </w:r>
          </w:p>
        </w:tc>
        <w:tc>
          <w:tcPr>
            <w:tcW w:w="876" w:type="dxa"/>
            <w:vAlign w:val="bottom"/>
          </w:tcPr>
          <w:p w14:paraId="32B35C98" w14:textId="3B92B241" w:rsidR="00A50E4F" w:rsidRDefault="00210DF6">
            <w:r>
              <w:t>0</w:t>
            </w:r>
          </w:p>
        </w:tc>
      </w:tr>
      <w:tr w:rsidR="00555B2B" w14:paraId="02323185" w14:textId="77777777" w:rsidTr="0AF71021">
        <w:trPr>
          <w:cantSplit/>
        </w:trPr>
        <w:tc>
          <w:tcPr>
            <w:tcW w:w="8474" w:type="dxa"/>
            <w:vAlign w:val="bottom"/>
          </w:tcPr>
          <w:p w14:paraId="33F82CED" w14:textId="77777777" w:rsidR="00555B2B" w:rsidRDefault="0058077A">
            <w:pPr>
              <w:spacing w:beforeAutospacing="1" w:afterAutospacing="1"/>
            </w:pPr>
            <w:r>
              <w:rPr>
                <w:color w:val="000000"/>
              </w:rPr>
              <w:t>2. Match contributed during current Federal fiscal year</w:t>
            </w:r>
          </w:p>
        </w:tc>
        <w:tc>
          <w:tcPr>
            <w:tcW w:w="876" w:type="dxa"/>
            <w:vAlign w:val="bottom"/>
          </w:tcPr>
          <w:p w14:paraId="369C0578" w14:textId="3D511124" w:rsidR="00A50E4F" w:rsidRDefault="00210DF6">
            <w:r>
              <w:t>$2,191</w:t>
            </w:r>
          </w:p>
        </w:tc>
      </w:tr>
      <w:tr w:rsidR="00555B2B" w14:paraId="542D828D" w14:textId="77777777" w:rsidTr="0AF71021">
        <w:trPr>
          <w:cantSplit/>
        </w:trPr>
        <w:tc>
          <w:tcPr>
            <w:tcW w:w="8474" w:type="dxa"/>
            <w:vAlign w:val="bottom"/>
          </w:tcPr>
          <w:p w14:paraId="5AA27AEE" w14:textId="77777777" w:rsidR="00555B2B" w:rsidRDefault="0058077A">
            <w:pPr>
              <w:spacing w:beforeAutospacing="1" w:afterAutospacing="1"/>
            </w:pPr>
            <w:r>
              <w:rPr>
                <w:color w:val="000000"/>
              </w:rPr>
              <w:t>3. Total match available for current Federal fiscal year (Line 1 plus Line 2)</w:t>
            </w:r>
          </w:p>
        </w:tc>
        <w:tc>
          <w:tcPr>
            <w:tcW w:w="876" w:type="dxa"/>
            <w:vAlign w:val="bottom"/>
          </w:tcPr>
          <w:p w14:paraId="71DECC11" w14:textId="626AFBF7" w:rsidR="00A50E4F" w:rsidRDefault="00210DF6">
            <w:r>
              <w:t>$2,191</w:t>
            </w:r>
          </w:p>
        </w:tc>
      </w:tr>
      <w:tr w:rsidR="00555B2B" w14:paraId="2D4E2008" w14:textId="77777777" w:rsidTr="0AF71021">
        <w:trPr>
          <w:cantSplit/>
        </w:trPr>
        <w:tc>
          <w:tcPr>
            <w:tcW w:w="8474" w:type="dxa"/>
            <w:vAlign w:val="bottom"/>
          </w:tcPr>
          <w:p w14:paraId="70F636B5" w14:textId="77777777" w:rsidR="00555B2B" w:rsidRDefault="0058077A">
            <w:pPr>
              <w:spacing w:beforeAutospacing="1" w:afterAutospacing="1"/>
            </w:pPr>
            <w:r>
              <w:rPr>
                <w:color w:val="000000"/>
              </w:rPr>
              <w:t>4. Match liability for current Federal fiscal year</w:t>
            </w:r>
          </w:p>
        </w:tc>
        <w:tc>
          <w:tcPr>
            <w:tcW w:w="876" w:type="dxa"/>
            <w:vAlign w:val="bottom"/>
          </w:tcPr>
          <w:p w14:paraId="4C9024C5" w14:textId="6A0B66D2" w:rsidR="00A50E4F" w:rsidRDefault="00210DF6">
            <w:r>
              <w:t>0</w:t>
            </w:r>
          </w:p>
        </w:tc>
      </w:tr>
      <w:tr w:rsidR="00555B2B" w14:paraId="19EC94C3" w14:textId="77777777" w:rsidTr="0AF71021">
        <w:trPr>
          <w:cantSplit/>
        </w:trPr>
        <w:tc>
          <w:tcPr>
            <w:tcW w:w="8474" w:type="dxa"/>
            <w:vAlign w:val="bottom"/>
          </w:tcPr>
          <w:p w14:paraId="292FA960" w14:textId="77777777" w:rsidR="00555B2B" w:rsidRDefault="0058077A">
            <w:pPr>
              <w:spacing w:beforeAutospacing="1" w:afterAutospacing="1"/>
            </w:pPr>
            <w:r>
              <w:rPr>
                <w:color w:val="000000"/>
              </w:rPr>
              <w:t>5. Excess match carried over to next Federal fiscal year (Line 3 minus Line 4)</w:t>
            </w:r>
          </w:p>
        </w:tc>
        <w:tc>
          <w:tcPr>
            <w:tcW w:w="876" w:type="dxa"/>
            <w:vAlign w:val="bottom"/>
          </w:tcPr>
          <w:p w14:paraId="3EF34180" w14:textId="7236578F" w:rsidR="00A50E4F" w:rsidRDefault="00210DF6">
            <w:r>
              <w:t>$2,191</w:t>
            </w:r>
          </w:p>
        </w:tc>
      </w:tr>
    </w:tbl>
    <w:p w14:paraId="2413BA35"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5</w:t>
      </w:r>
      <w:r w:rsidRPr="0AF71021">
        <w:rPr>
          <w:rFonts w:asciiTheme="minorHAnsi" w:hAnsiTheme="minorHAnsi"/>
        </w:rPr>
        <w:fldChar w:fldCharType="end"/>
      </w:r>
      <w:r w:rsidRPr="0AF71021">
        <w:rPr>
          <w:rFonts w:asciiTheme="minorHAnsi" w:hAnsiTheme="minorHAnsi"/>
        </w:rPr>
        <w:t xml:space="preserve"> – Fiscal Year Summary - HOME Match Report</w:t>
      </w:r>
    </w:p>
    <w:p w14:paraId="23DB5407" w14:textId="77777777" w:rsidR="00555B2B" w:rsidRDefault="00555B2B">
      <w:pPr>
        <w:widowControl w:val="0"/>
        <w:spacing w:line="204" w:lineRule="auto"/>
        <w:rPr>
          <w:rFonts w:cs="Arial"/>
        </w:rPr>
      </w:pPr>
    </w:p>
    <w:p w14:paraId="3033630A" w14:textId="77777777" w:rsidR="00555B2B" w:rsidRDefault="00555B2B">
      <w:pPr>
        <w:widowControl w:val="0"/>
        <w:spacing w:line="204" w:lineRule="auto"/>
        <w:rPr>
          <w:rFonts w:cs="Arial"/>
        </w:rPr>
      </w:pPr>
    </w:p>
    <w:p w14:paraId="3E6B4FF3" w14:textId="77777777" w:rsidR="00555B2B" w:rsidRDefault="00555B2B">
      <w:pPr>
        <w:keepNext/>
        <w:spacing w:after="0" w:line="240" w:lineRule="auto"/>
        <w:rPr>
          <w:b/>
          <w:sz w:val="24"/>
          <w:szCs w:val="24"/>
        </w:rPr>
        <w:sectPr w:rsidR="00555B2B">
          <w:pgSz w:w="12240" w:h="15840" w:code="1"/>
          <w:pgMar w:top="1440" w:right="1440" w:bottom="1440" w:left="1440" w:header="720" w:footer="720" w:gutter="0"/>
          <w:cols w:space="720"/>
          <w:docGrid w:linePitch="360"/>
        </w:sectPr>
      </w:pPr>
    </w:p>
    <w:tbl>
      <w:tblPr>
        <w:tblW w:w="12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555B2B" w14:paraId="75DA2BA4" w14:textId="77777777" w:rsidTr="189EB430">
        <w:trPr>
          <w:cantSplit/>
          <w:trHeight w:val="300"/>
          <w:tblHeader/>
        </w:trPr>
        <w:tc>
          <w:tcPr>
            <w:tcW w:w="12950" w:type="dxa"/>
            <w:gridSpan w:val="9"/>
          </w:tcPr>
          <w:p w14:paraId="588691B5" w14:textId="77777777" w:rsidR="00A50E4F" w:rsidRDefault="00A50E4F"/>
        </w:tc>
      </w:tr>
      <w:tr w:rsidR="00555B2B" w14:paraId="58231E11" w14:textId="77777777" w:rsidTr="189EB430">
        <w:trPr>
          <w:cantSplit/>
          <w:tblHeader/>
        </w:trPr>
        <w:tc>
          <w:tcPr>
            <w:tcW w:w="1438" w:type="dxa"/>
          </w:tcPr>
          <w:p w14:paraId="4DC9248B" w14:textId="77777777" w:rsidR="00555B2B" w:rsidRDefault="0058077A">
            <w:pPr>
              <w:keepNext/>
              <w:widowControl w:val="0"/>
              <w:spacing w:after="0" w:line="240" w:lineRule="auto"/>
              <w:jc w:val="center"/>
              <w:rPr>
                <w:b/>
                <w:sz w:val="20"/>
                <w:szCs w:val="20"/>
              </w:rPr>
            </w:pPr>
            <w:r>
              <w:rPr>
                <w:b/>
                <w:sz w:val="20"/>
                <w:szCs w:val="20"/>
              </w:rPr>
              <w:t>Project No. or Other ID</w:t>
            </w:r>
          </w:p>
        </w:tc>
        <w:tc>
          <w:tcPr>
            <w:tcW w:w="1439" w:type="dxa"/>
          </w:tcPr>
          <w:p w14:paraId="63120119" w14:textId="37D92691" w:rsidR="00A50E4F" w:rsidRDefault="0C2FAD24">
            <w:r>
              <w:t>Date of Contribution</w:t>
            </w:r>
          </w:p>
        </w:tc>
        <w:tc>
          <w:tcPr>
            <w:tcW w:w="1439" w:type="dxa"/>
          </w:tcPr>
          <w:p w14:paraId="11FD827A" w14:textId="73094FE6" w:rsidR="00A50E4F" w:rsidRDefault="0C2FAD24">
            <w:r>
              <w:t>Cash</w:t>
            </w:r>
          </w:p>
        </w:tc>
        <w:tc>
          <w:tcPr>
            <w:tcW w:w="1439" w:type="dxa"/>
          </w:tcPr>
          <w:p w14:paraId="4CC5EB1C" w14:textId="09DE0814" w:rsidR="00A50E4F" w:rsidRDefault="0C2FAD24">
            <w:r>
              <w:t>Forgone Taxes, Fees, Charges</w:t>
            </w:r>
          </w:p>
        </w:tc>
        <w:tc>
          <w:tcPr>
            <w:tcW w:w="1439" w:type="dxa"/>
          </w:tcPr>
          <w:p w14:paraId="2499CC66" w14:textId="29027F39" w:rsidR="00A50E4F" w:rsidRDefault="0C2FAD24">
            <w:r>
              <w:t>Appraised Land/ Real Property</w:t>
            </w:r>
          </w:p>
        </w:tc>
        <w:tc>
          <w:tcPr>
            <w:tcW w:w="1439" w:type="dxa"/>
          </w:tcPr>
          <w:p w14:paraId="752467D1" w14:textId="58F1847F" w:rsidR="00A50E4F" w:rsidRDefault="0C2FAD24">
            <w:r>
              <w:t>Required Infrastructure</w:t>
            </w:r>
          </w:p>
        </w:tc>
        <w:tc>
          <w:tcPr>
            <w:tcW w:w="1439" w:type="dxa"/>
          </w:tcPr>
          <w:p w14:paraId="4006F06E" w14:textId="628796ED" w:rsidR="00A50E4F" w:rsidRDefault="0C2FAD24">
            <w:r>
              <w:t>Site Preparation, Construction Materials, Donated Labor</w:t>
            </w:r>
          </w:p>
        </w:tc>
        <w:tc>
          <w:tcPr>
            <w:tcW w:w="1439" w:type="dxa"/>
          </w:tcPr>
          <w:p w14:paraId="7BFD7ABB" w14:textId="0065CC16" w:rsidR="00A50E4F" w:rsidRDefault="0C2FAD24">
            <w:r>
              <w:t>Bond Financing</w:t>
            </w:r>
          </w:p>
        </w:tc>
        <w:tc>
          <w:tcPr>
            <w:tcW w:w="1439" w:type="dxa"/>
          </w:tcPr>
          <w:p w14:paraId="4AA1D2CD" w14:textId="3E37E16F" w:rsidR="00A50E4F" w:rsidRDefault="0C2FAD24">
            <w:r>
              <w:t>Total Match</w:t>
            </w:r>
          </w:p>
        </w:tc>
      </w:tr>
      <w:tr w:rsidR="00210DF6" w14:paraId="4880EF6F" w14:textId="77777777" w:rsidTr="189EB430">
        <w:trPr>
          <w:cantSplit/>
        </w:trPr>
        <w:tc>
          <w:tcPr>
            <w:tcW w:w="1438" w:type="dxa"/>
          </w:tcPr>
          <w:p w14:paraId="5645512F" w14:textId="0753C07B" w:rsidR="00210DF6" w:rsidRDefault="00210DF6" w:rsidP="00210DF6">
            <w:pPr>
              <w:keepNext/>
              <w:widowControl w:val="0"/>
              <w:spacing w:after="0" w:line="240" w:lineRule="auto"/>
              <w:rPr>
                <w:sz w:val="20"/>
                <w:szCs w:val="20"/>
              </w:rPr>
            </w:pPr>
            <w:r w:rsidRPr="0AF71021">
              <w:rPr>
                <w:sz w:val="20"/>
                <w:szCs w:val="20"/>
              </w:rPr>
              <w:t>421 Turner</w:t>
            </w:r>
          </w:p>
        </w:tc>
        <w:tc>
          <w:tcPr>
            <w:tcW w:w="1439" w:type="dxa"/>
          </w:tcPr>
          <w:p w14:paraId="02DAAD21" w14:textId="77777777" w:rsidR="00210DF6" w:rsidRDefault="00210DF6" w:rsidP="00210DF6"/>
        </w:tc>
        <w:tc>
          <w:tcPr>
            <w:tcW w:w="1439" w:type="dxa"/>
          </w:tcPr>
          <w:p w14:paraId="13C643EA" w14:textId="77777777" w:rsidR="00210DF6" w:rsidRDefault="00210DF6" w:rsidP="00210DF6"/>
        </w:tc>
        <w:tc>
          <w:tcPr>
            <w:tcW w:w="1439" w:type="dxa"/>
          </w:tcPr>
          <w:p w14:paraId="63C875AB" w14:textId="2D406FAF" w:rsidR="00210DF6" w:rsidRDefault="00210DF6" w:rsidP="00210DF6">
            <w:pPr>
              <w:keepNext/>
              <w:widowControl w:val="0"/>
              <w:spacing w:after="0" w:line="240" w:lineRule="auto"/>
              <w:rPr>
                <w:sz w:val="20"/>
                <w:szCs w:val="20"/>
              </w:rPr>
            </w:pPr>
            <w:r w:rsidRPr="189EB430">
              <w:rPr>
                <w:sz w:val="20"/>
                <w:szCs w:val="20"/>
              </w:rPr>
              <w:t>$1,055</w:t>
            </w:r>
          </w:p>
        </w:tc>
        <w:tc>
          <w:tcPr>
            <w:tcW w:w="1439" w:type="dxa"/>
          </w:tcPr>
          <w:p w14:paraId="68E62C12" w14:textId="77777777" w:rsidR="00210DF6" w:rsidRDefault="00210DF6" w:rsidP="00210DF6"/>
        </w:tc>
        <w:tc>
          <w:tcPr>
            <w:tcW w:w="1439" w:type="dxa"/>
          </w:tcPr>
          <w:p w14:paraId="3EA6C39F" w14:textId="77777777" w:rsidR="00210DF6" w:rsidRDefault="00210DF6" w:rsidP="00210DF6"/>
        </w:tc>
        <w:tc>
          <w:tcPr>
            <w:tcW w:w="1439" w:type="dxa"/>
          </w:tcPr>
          <w:p w14:paraId="29A88238" w14:textId="77777777" w:rsidR="00210DF6" w:rsidRDefault="00210DF6" w:rsidP="00210DF6"/>
        </w:tc>
        <w:tc>
          <w:tcPr>
            <w:tcW w:w="1439" w:type="dxa"/>
          </w:tcPr>
          <w:p w14:paraId="77122960" w14:textId="77777777" w:rsidR="00210DF6" w:rsidRDefault="00210DF6" w:rsidP="00210DF6"/>
        </w:tc>
        <w:tc>
          <w:tcPr>
            <w:tcW w:w="1439" w:type="dxa"/>
          </w:tcPr>
          <w:p w14:paraId="787D2010" w14:textId="51384350" w:rsidR="00210DF6" w:rsidRDefault="00210DF6" w:rsidP="00210DF6">
            <w:r w:rsidRPr="189EB430">
              <w:rPr>
                <w:sz w:val="20"/>
                <w:szCs w:val="20"/>
              </w:rPr>
              <w:t>$1,055</w:t>
            </w:r>
          </w:p>
        </w:tc>
      </w:tr>
      <w:tr w:rsidR="00210DF6" w14:paraId="1EB882FF" w14:textId="77777777" w:rsidTr="189EB430">
        <w:trPr>
          <w:cantSplit/>
          <w:trHeight w:val="300"/>
        </w:trPr>
        <w:tc>
          <w:tcPr>
            <w:tcW w:w="1438" w:type="dxa"/>
          </w:tcPr>
          <w:p w14:paraId="2F634A96" w14:textId="650CD9A0" w:rsidR="00210DF6" w:rsidRDefault="00210DF6" w:rsidP="00210DF6">
            <w:pPr>
              <w:keepNext/>
              <w:widowControl w:val="0"/>
              <w:spacing w:after="0" w:line="240" w:lineRule="auto"/>
              <w:rPr>
                <w:sz w:val="20"/>
                <w:szCs w:val="20"/>
              </w:rPr>
            </w:pPr>
            <w:r w:rsidRPr="189EB430">
              <w:rPr>
                <w:sz w:val="20"/>
                <w:szCs w:val="20"/>
              </w:rPr>
              <w:t xml:space="preserve">1421 Springdale </w:t>
            </w:r>
          </w:p>
        </w:tc>
        <w:tc>
          <w:tcPr>
            <w:tcW w:w="1439" w:type="dxa"/>
          </w:tcPr>
          <w:p w14:paraId="6544D2C9" w14:textId="77777777" w:rsidR="00210DF6" w:rsidRDefault="00210DF6" w:rsidP="00210DF6"/>
        </w:tc>
        <w:tc>
          <w:tcPr>
            <w:tcW w:w="1439" w:type="dxa"/>
          </w:tcPr>
          <w:p w14:paraId="0F7183C6" w14:textId="77777777" w:rsidR="00210DF6" w:rsidRDefault="00210DF6" w:rsidP="00210DF6"/>
        </w:tc>
        <w:tc>
          <w:tcPr>
            <w:tcW w:w="1439" w:type="dxa"/>
          </w:tcPr>
          <w:p w14:paraId="7A58EFA3" w14:textId="1BC99CF4" w:rsidR="00210DF6" w:rsidRDefault="00210DF6" w:rsidP="00210DF6">
            <w:pPr>
              <w:keepNext/>
              <w:widowControl w:val="0"/>
              <w:spacing w:after="0" w:line="240" w:lineRule="auto"/>
              <w:rPr>
                <w:sz w:val="20"/>
                <w:szCs w:val="20"/>
              </w:rPr>
            </w:pPr>
            <w:r w:rsidRPr="0AF71021">
              <w:rPr>
                <w:sz w:val="20"/>
                <w:szCs w:val="20"/>
              </w:rPr>
              <w:t>$636.00</w:t>
            </w:r>
          </w:p>
        </w:tc>
        <w:tc>
          <w:tcPr>
            <w:tcW w:w="1439" w:type="dxa"/>
          </w:tcPr>
          <w:p w14:paraId="47F7FA58" w14:textId="77777777" w:rsidR="00210DF6" w:rsidRDefault="00210DF6" w:rsidP="00210DF6"/>
        </w:tc>
        <w:tc>
          <w:tcPr>
            <w:tcW w:w="1439" w:type="dxa"/>
          </w:tcPr>
          <w:p w14:paraId="779A9316" w14:textId="77777777" w:rsidR="00210DF6" w:rsidRDefault="00210DF6" w:rsidP="00210DF6"/>
        </w:tc>
        <w:tc>
          <w:tcPr>
            <w:tcW w:w="1439" w:type="dxa"/>
          </w:tcPr>
          <w:p w14:paraId="4108CB05" w14:textId="77777777" w:rsidR="00210DF6" w:rsidRDefault="00210DF6" w:rsidP="00210DF6"/>
        </w:tc>
        <w:tc>
          <w:tcPr>
            <w:tcW w:w="1439" w:type="dxa"/>
          </w:tcPr>
          <w:p w14:paraId="508294F5" w14:textId="77777777" w:rsidR="00210DF6" w:rsidRDefault="00210DF6" w:rsidP="00210DF6"/>
        </w:tc>
        <w:tc>
          <w:tcPr>
            <w:tcW w:w="1439" w:type="dxa"/>
          </w:tcPr>
          <w:p w14:paraId="4F8D5D8A" w14:textId="767B335E" w:rsidR="00210DF6" w:rsidRDefault="00210DF6" w:rsidP="00210DF6">
            <w:r w:rsidRPr="0AF71021">
              <w:rPr>
                <w:sz w:val="20"/>
                <w:szCs w:val="20"/>
              </w:rPr>
              <w:t>$636.00</w:t>
            </w:r>
          </w:p>
        </w:tc>
      </w:tr>
      <w:tr w:rsidR="00210DF6" w14:paraId="175CED10" w14:textId="77777777" w:rsidTr="189EB430">
        <w:trPr>
          <w:cantSplit/>
          <w:trHeight w:val="300"/>
        </w:trPr>
        <w:tc>
          <w:tcPr>
            <w:tcW w:w="1438" w:type="dxa"/>
          </w:tcPr>
          <w:p w14:paraId="1991BCEB" w14:textId="3C9A3AF0" w:rsidR="00210DF6" w:rsidRDefault="00210DF6" w:rsidP="00210DF6">
            <w:pPr>
              <w:spacing w:line="240" w:lineRule="auto"/>
              <w:rPr>
                <w:sz w:val="20"/>
                <w:szCs w:val="20"/>
              </w:rPr>
            </w:pPr>
            <w:r w:rsidRPr="189EB430">
              <w:rPr>
                <w:sz w:val="20"/>
                <w:szCs w:val="20"/>
              </w:rPr>
              <w:t>3008 Sarah Street</w:t>
            </w:r>
          </w:p>
        </w:tc>
        <w:tc>
          <w:tcPr>
            <w:tcW w:w="1439" w:type="dxa"/>
          </w:tcPr>
          <w:p w14:paraId="75EE27B3" w14:textId="10BF73B5" w:rsidR="00210DF6" w:rsidRDefault="00210DF6" w:rsidP="00210DF6"/>
        </w:tc>
        <w:tc>
          <w:tcPr>
            <w:tcW w:w="1439" w:type="dxa"/>
          </w:tcPr>
          <w:p w14:paraId="664217C6" w14:textId="14D7BC20" w:rsidR="00210DF6" w:rsidRDefault="00210DF6" w:rsidP="00210DF6"/>
        </w:tc>
        <w:tc>
          <w:tcPr>
            <w:tcW w:w="1439" w:type="dxa"/>
          </w:tcPr>
          <w:p w14:paraId="2EFB219A" w14:textId="2C9EFED7" w:rsidR="00210DF6" w:rsidRDefault="00210DF6" w:rsidP="00210DF6">
            <w:pPr>
              <w:spacing w:line="240" w:lineRule="auto"/>
              <w:rPr>
                <w:sz w:val="20"/>
                <w:szCs w:val="20"/>
              </w:rPr>
            </w:pPr>
            <w:r w:rsidRPr="189EB430">
              <w:rPr>
                <w:sz w:val="20"/>
                <w:szCs w:val="20"/>
              </w:rPr>
              <w:t>$210.00</w:t>
            </w:r>
          </w:p>
        </w:tc>
        <w:tc>
          <w:tcPr>
            <w:tcW w:w="1439" w:type="dxa"/>
          </w:tcPr>
          <w:p w14:paraId="747A5A8A" w14:textId="1FEEA937" w:rsidR="00210DF6" w:rsidRDefault="00210DF6" w:rsidP="00210DF6"/>
        </w:tc>
        <w:tc>
          <w:tcPr>
            <w:tcW w:w="1439" w:type="dxa"/>
          </w:tcPr>
          <w:p w14:paraId="748061FD" w14:textId="07F19DCE" w:rsidR="00210DF6" w:rsidRDefault="00210DF6" w:rsidP="00210DF6"/>
        </w:tc>
        <w:tc>
          <w:tcPr>
            <w:tcW w:w="1439" w:type="dxa"/>
          </w:tcPr>
          <w:p w14:paraId="06EC9EC9" w14:textId="0BB7D6D1" w:rsidR="00210DF6" w:rsidRDefault="00210DF6" w:rsidP="00210DF6"/>
        </w:tc>
        <w:tc>
          <w:tcPr>
            <w:tcW w:w="1439" w:type="dxa"/>
          </w:tcPr>
          <w:p w14:paraId="57533EB5" w14:textId="18A2F593" w:rsidR="00210DF6" w:rsidRDefault="00210DF6" w:rsidP="00210DF6"/>
        </w:tc>
        <w:tc>
          <w:tcPr>
            <w:tcW w:w="1439" w:type="dxa"/>
          </w:tcPr>
          <w:p w14:paraId="29490F8F" w14:textId="6F6E9F25" w:rsidR="00210DF6" w:rsidRDefault="00210DF6" w:rsidP="00210DF6">
            <w:r w:rsidRPr="189EB430">
              <w:rPr>
                <w:sz w:val="20"/>
                <w:szCs w:val="20"/>
              </w:rPr>
              <w:t>$210.00</w:t>
            </w:r>
          </w:p>
        </w:tc>
      </w:tr>
      <w:tr w:rsidR="00210DF6" w14:paraId="4F6EA6B7" w14:textId="77777777" w:rsidTr="189EB430">
        <w:trPr>
          <w:cantSplit/>
          <w:trHeight w:val="300"/>
        </w:trPr>
        <w:tc>
          <w:tcPr>
            <w:tcW w:w="1438" w:type="dxa"/>
          </w:tcPr>
          <w:p w14:paraId="68DCB43F" w14:textId="1477973C" w:rsidR="00210DF6" w:rsidRDefault="00210DF6" w:rsidP="00210DF6">
            <w:pPr>
              <w:spacing w:line="240" w:lineRule="auto"/>
              <w:rPr>
                <w:sz w:val="20"/>
                <w:szCs w:val="20"/>
              </w:rPr>
            </w:pPr>
            <w:r w:rsidRPr="189EB430">
              <w:rPr>
                <w:sz w:val="20"/>
                <w:szCs w:val="20"/>
              </w:rPr>
              <w:t>1100 Pembrook</w:t>
            </w:r>
          </w:p>
        </w:tc>
        <w:tc>
          <w:tcPr>
            <w:tcW w:w="1439" w:type="dxa"/>
          </w:tcPr>
          <w:p w14:paraId="23E49CA5" w14:textId="1D2D5D0E" w:rsidR="00210DF6" w:rsidRDefault="00210DF6" w:rsidP="00210DF6"/>
        </w:tc>
        <w:tc>
          <w:tcPr>
            <w:tcW w:w="1439" w:type="dxa"/>
          </w:tcPr>
          <w:p w14:paraId="54C7E8DC" w14:textId="199308D5" w:rsidR="00210DF6" w:rsidRDefault="00210DF6" w:rsidP="00210DF6"/>
        </w:tc>
        <w:tc>
          <w:tcPr>
            <w:tcW w:w="1439" w:type="dxa"/>
          </w:tcPr>
          <w:p w14:paraId="06957F78" w14:textId="750D8419" w:rsidR="00210DF6" w:rsidRDefault="00210DF6" w:rsidP="00210DF6">
            <w:pPr>
              <w:spacing w:line="240" w:lineRule="auto"/>
              <w:rPr>
                <w:sz w:val="20"/>
                <w:szCs w:val="20"/>
              </w:rPr>
            </w:pPr>
            <w:r w:rsidRPr="189EB430">
              <w:rPr>
                <w:sz w:val="20"/>
                <w:szCs w:val="20"/>
              </w:rPr>
              <w:t>$290.00</w:t>
            </w:r>
          </w:p>
        </w:tc>
        <w:tc>
          <w:tcPr>
            <w:tcW w:w="1439" w:type="dxa"/>
          </w:tcPr>
          <w:p w14:paraId="0FF3A596" w14:textId="69DA3572" w:rsidR="00210DF6" w:rsidRDefault="00210DF6" w:rsidP="00210DF6"/>
        </w:tc>
        <w:tc>
          <w:tcPr>
            <w:tcW w:w="1439" w:type="dxa"/>
          </w:tcPr>
          <w:p w14:paraId="13456BD6" w14:textId="72C0DCE3" w:rsidR="00210DF6" w:rsidRDefault="00210DF6" w:rsidP="00210DF6"/>
        </w:tc>
        <w:tc>
          <w:tcPr>
            <w:tcW w:w="1439" w:type="dxa"/>
          </w:tcPr>
          <w:p w14:paraId="12477EBA" w14:textId="0AF9304A" w:rsidR="00210DF6" w:rsidRDefault="00210DF6" w:rsidP="00210DF6"/>
        </w:tc>
        <w:tc>
          <w:tcPr>
            <w:tcW w:w="1439" w:type="dxa"/>
          </w:tcPr>
          <w:p w14:paraId="03EF561F" w14:textId="28A8DB5B" w:rsidR="00210DF6" w:rsidRDefault="00210DF6" w:rsidP="00210DF6"/>
        </w:tc>
        <w:tc>
          <w:tcPr>
            <w:tcW w:w="1439" w:type="dxa"/>
          </w:tcPr>
          <w:p w14:paraId="564949E5" w14:textId="01DC5458" w:rsidR="00210DF6" w:rsidRDefault="00210DF6" w:rsidP="00210DF6">
            <w:r w:rsidRPr="189EB430">
              <w:rPr>
                <w:sz w:val="20"/>
                <w:szCs w:val="20"/>
              </w:rPr>
              <w:t>$290.00</w:t>
            </w:r>
          </w:p>
        </w:tc>
      </w:tr>
    </w:tbl>
    <w:p w14:paraId="156E41E7"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6</w:t>
      </w:r>
      <w:r w:rsidRPr="0AF71021">
        <w:rPr>
          <w:rFonts w:asciiTheme="minorHAnsi" w:hAnsiTheme="minorHAnsi"/>
        </w:rPr>
        <w:fldChar w:fldCharType="end"/>
      </w:r>
      <w:r w:rsidRPr="0AF71021">
        <w:rPr>
          <w:rFonts w:asciiTheme="minorHAnsi" w:hAnsiTheme="minorHAnsi"/>
        </w:rPr>
        <w:t xml:space="preserve"> – Match Contribution for the Federal Fiscal Year</w:t>
      </w:r>
    </w:p>
    <w:p w14:paraId="41E306D2" w14:textId="77777777" w:rsidR="00555B2B" w:rsidRDefault="00555B2B"/>
    <w:p w14:paraId="3D898034" w14:textId="77777777" w:rsidR="00555B2B" w:rsidRDefault="0058077A">
      <w:pPr>
        <w:widowControl w:val="0"/>
        <w:spacing w:line="204" w:lineRule="auto"/>
        <w:rPr>
          <w:b/>
          <w:sz w:val="24"/>
          <w:szCs w:val="24"/>
        </w:rPr>
      </w:pPr>
      <w:r>
        <w:rPr>
          <w:b/>
          <w:sz w:val="24"/>
          <w:szCs w:val="24"/>
        </w:rPr>
        <w:t>HOME MBE/WBE report</w:t>
      </w:r>
    </w:p>
    <w:tbl>
      <w:tblPr>
        <w:tblW w:w="12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555B2B" w14:paraId="5647EDAC" w14:textId="77777777" w:rsidTr="0AF71021">
        <w:trPr>
          <w:cantSplit/>
          <w:trHeight w:val="300"/>
          <w:tblHeader/>
        </w:trPr>
        <w:tc>
          <w:tcPr>
            <w:tcW w:w="12950" w:type="dxa"/>
            <w:gridSpan w:val="5"/>
          </w:tcPr>
          <w:p w14:paraId="59485066" w14:textId="77777777" w:rsidR="00A50E4F" w:rsidRDefault="00A50E4F"/>
        </w:tc>
      </w:tr>
      <w:tr w:rsidR="00555B2B" w14:paraId="1549A6C2" w14:textId="77777777" w:rsidTr="0AF71021">
        <w:trPr>
          <w:cantSplit/>
          <w:tblHeader/>
        </w:trPr>
        <w:tc>
          <w:tcPr>
            <w:tcW w:w="2589" w:type="dxa"/>
          </w:tcPr>
          <w:p w14:paraId="2075D473" w14:textId="57C204E7" w:rsidR="00555B2B" w:rsidRDefault="0058077A">
            <w:pPr>
              <w:keepNext/>
              <w:spacing w:after="0" w:line="240" w:lineRule="auto"/>
              <w:jc w:val="center"/>
              <w:rPr>
                <w:b/>
              </w:rPr>
            </w:pPr>
            <w:r>
              <w:rPr>
                <w:b/>
              </w:rPr>
              <w:t>Balance on hand at beginning of reporting period</w:t>
            </w:r>
          </w:p>
          <w:p w14:paraId="63640802" w14:textId="77777777" w:rsidR="00555B2B" w:rsidRDefault="0058077A">
            <w:pPr>
              <w:keepNext/>
              <w:spacing w:after="0" w:line="240" w:lineRule="auto"/>
              <w:jc w:val="center"/>
              <w:rPr>
                <w:b/>
              </w:rPr>
            </w:pPr>
            <w:r>
              <w:rPr>
                <w:b/>
              </w:rPr>
              <w:t>$</w:t>
            </w:r>
          </w:p>
        </w:tc>
        <w:tc>
          <w:tcPr>
            <w:tcW w:w="2590" w:type="dxa"/>
          </w:tcPr>
          <w:p w14:paraId="3BC04819" w14:textId="77777777" w:rsidR="00A50E4F" w:rsidRDefault="00A50E4F"/>
        </w:tc>
        <w:tc>
          <w:tcPr>
            <w:tcW w:w="2590" w:type="dxa"/>
          </w:tcPr>
          <w:p w14:paraId="770F6E1B" w14:textId="77777777" w:rsidR="00A50E4F" w:rsidRDefault="00A50E4F"/>
        </w:tc>
        <w:tc>
          <w:tcPr>
            <w:tcW w:w="2590" w:type="dxa"/>
          </w:tcPr>
          <w:p w14:paraId="6C226645" w14:textId="77777777" w:rsidR="00A50E4F" w:rsidRDefault="00A50E4F"/>
        </w:tc>
        <w:tc>
          <w:tcPr>
            <w:tcW w:w="2591" w:type="dxa"/>
          </w:tcPr>
          <w:p w14:paraId="33380872" w14:textId="77777777" w:rsidR="00A50E4F" w:rsidRDefault="00A50E4F"/>
        </w:tc>
      </w:tr>
      <w:tr w:rsidR="00555B2B" w14:paraId="16DA693B" w14:textId="77777777" w:rsidTr="0AF71021">
        <w:trPr>
          <w:cantSplit/>
        </w:trPr>
        <w:tc>
          <w:tcPr>
            <w:tcW w:w="2589" w:type="dxa"/>
            <w:vAlign w:val="bottom"/>
          </w:tcPr>
          <w:p w14:paraId="458F1C7E" w14:textId="4942F220" w:rsidR="00555B2B" w:rsidRDefault="0D0D3605" w:rsidP="0AF71021">
            <w:pPr>
              <w:spacing w:beforeAutospacing="1" w:afterAutospacing="1"/>
              <w:jc w:val="right"/>
            </w:pPr>
            <w:r w:rsidRPr="0AF71021">
              <w:rPr>
                <w:color w:val="000000" w:themeColor="text1"/>
              </w:rPr>
              <w:t>55,</w:t>
            </w:r>
            <w:r w:rsidR="65248A52" w:rsidRPr="0AF71021">
              <w:rPr>
                <w:color w:val="000000" w:themeColor="text1"/>
              </w:rPr>
              <w:t>916.44</w:t>
            </w:r>
          </w:p>
        </w:tc>
        <w:tc>
          <w:tcPr>
            <w:tcW w:w="2590" w:type="dxa"/>
            <w:vAlign w:val="bottom"/>
          </w:tcPr>
          <w:p w14:paraId="1E44FA92" w14:textId="284F9828" w:rsidR="00A50E4F" w:rsidRDefault="058B91C3" w:rsidP="0AF71021">
            <w:pPr>
              <w:spacing w:beforeAutospacing="1" w:afterAutospacing="1"/>
              <w:jc w:val="right"/>
            </w:pPr>
            <w:r w:rsidRPr="0AF71021">
              <w:rPr>
                <w:rFonts w:cs="Arial"/>
              </w:rPr>
              <w:t>88,705.13</w:t>
            </w:r>
          </w:p>
        </w:tc>
        <w:tc>
          <w:tcPr>
            <w:tcW w:w="2590" w:type="dxa"/>
            <w:vAlign w:val="bottom"/>
          </w:tcPr>
          <w:p w14:paraId="574D82FD" w14:textId="108D0AE7" w:rsidR="00A50E4F" w:rsidRDefault="5AECAD1F" w:rsidP="0AF71021">
            <w:pPr>
              <w:spacing w:beforeAutospacing="1" w:afterAutospacing="1"/>
              <w:jc w:val="right"/>
            </w:pPr>
            <w:r w:rsidRPr="0AF71021">
              <w:rPr>
                <w:color w:val="000000" w:themeColor="text1"/>
              </w:rPr>
              <w:t>55,916.44</w:t>
            </w:r>
          </w:p>
        </w:tc>
        <w:tc>
          <w:tcPr>
            <w:tcW w:w="2590" w:type="dxa"/>
            <w:vAlign w:val="bottom"/>
          </w:tcPr>
          <w:p w14:paraId="53A6F67B" w14:textId="0DE807A1" w:rsidR="00A50E4F" w:rsidRDefault="47FD549D" w:rsidP="0AF71021">
            <w:pPr>
              <w:spacing w:beforeAutospacing="1" w:afterAutospacing="1"/>
              <w:jc w:val="right"/>
            </w:pPr>
            <w:r w:rsidRPr="0AF71021">
              <w:rPr>
                <w:color w:val="000000" w:themeColor="text1"/>
              </w:rPr>
              <w:t>30,916.44</w:t>
            </w:r>
          </w:p>
        </w:tc>
        <w:tc>
          <w:tcPr>
            <w:tcW w:w="2591" w:type="dxa"/>
            <w:vAlign w:val="bottom"/>
          </w:tcPr>
          <w:p w14:paraId="474AACF7" w14:textId="19795873" w:rsidR="00A50E4F" w:rsidRDefault="058B91C3" w:rsidP="0AF71021">
            <w:pPr>
              <w:spacing w:beforeAutospacing="1" w:afterAutospacing="1"/>
              <w:jc w:val="right"/>
            </w:pPr>
            <w:r w:rsidRPr="0AF71021">
              <w:rPr>
                <w:rFonts w:cs="Arial"/>
              </w:rPr>
              <w:t>88,705.13</w:t>
            </w:r>
          </w:p>
        </w:tc>
      </w:tr>
    </w:tbl>
    <w:p w14:paraId="5403CCAE"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7</w:t>
      </w:r>
      <w:r w:rsidRPr="0AF71021">
        <w:rPr>
          <w:rFonts w:asciiTheme="minorHAnsi" w:hAnsiTheme="minorHAnsi"/>
        </w:rPr>
        <w:fldChar w:fldCharType="end"/>
      </w:r>
      <w:r w:rsidRPr="0AF71021">
        <w:rPr>
          <w:rFonts w:asciiTheme="minorHAnsi" w:hAnsiTheme="minorHAnsi"/>
        </w:rPr>
        <w:t xml:space="preserve"> – Program Income</w:t>
      </w:r>
    </w:p>
    <w:p w14:paraId="30D01DA8" w14:textId="77777777" w:rsidR="00555B2B" w:rsidRDefault="00555B2B">
      <w:pPr>
        <w:widowControl w:val="0"/>
        <w:spacing w:after="0" w:line="240" w:lineRule="auto"/>
        <w:rPr>
          <w:b/>
          <w:sz w:val="20"/>
          <w:szCs w:val="20"/>
        </w:rPr>
      </w:pPr>
    </w:p>
    <w:p w14:paraId="3B0E85D5" w14:textId="77777777" w:rsidR="00555B2B" w:rsidRDefault="00555B2B">
      <w:pPr>
        <w:widowControl w:val="0"/>
        <w:spacing w:after="0" w:line="240" w:lineRule="auto"/>
        <w:jc w:val="center"/>
        <w:rPr>
          <w:b/>
          <w:sz w:val="20"/>
          <w:szCs w:val="20"/>
        </w:rPr>
        <w:sectPr w:rsidR="00555B2B">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B2B" w14:paraId="6E00B89D" w14:textId="77777777">
        <w:tc>
          <w:tcPr>
            <w:tcW w:w="9576" w:type="dxa"/>
          </w:tcPr>
          <w:p w14:paraId="37310104" w14:textId="77777777" w:rsidR="00555B2B" w:rsidRDefault="0058077A">
            <w:pPr>
              <w:keepNext/>
              <w:widowControl w:val="0"/>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14:paraId="2CB747C9" w14:textId="77777777" w:rsidR="00555B2B" w:rsidRDefault="00555B2B">
      <w:pPr>
        <w:keepNext/>
        <w:widowControl w:val="0"/>
        <w:spacing w:after="0" w:line="240" w:lineRule="auto"/>
        <w:rPr>
          <w:b/>
          <w:vanish/>
          <w:sz w:val="24"/>
          <w:szCs w:val="24"/>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1"/>
        <w:gridCol w:w="1331"/>
        <w:gridCol w:w="1332"/>
        <w:gridCol w:w="1331"/>
        <w:gridCol w:w="1331"/>
        <w:gridCol w:w="1331"/>
        <w:gridCol w:w="1363"/>
      </w:tblGrid>
      <w:tr w:rsidR="00555B2B" w14:paraId="2DBFCD80" w14:textId="77777777" w:rsidTr="0AF71021">
        <w:trPr>
          <w:cantSplit/>
          <w:trHeight w:val="300"/>
        </w:trPr>
        <w:tc>
          <w:tcPr>
            <w:tcW w:w="1335" w:type="dxa"/>
            <w:vMerge w:val="restart"/>
          </w:tcPr>
          <w:p w14:paraId="0E49C177" w14:textId="77777777" w:rsidR="00555B2B" w:rsidRDefault="00555B2B">
            <w:pPr>
              <w:keepNext/>
              <w:widowControl w:val="0"/>
              <w:spacing w:after="0" w:line="240" w:lineRule="auto"/>
              <w:rPr>
                <w:b/>
              </w:rPr>
            </w:pPr>
          </w:p>
        </w:tc>
        <w:tc>
          <w:tcPr>
            <w:tcW w:w="1335" w:type="dxa"/>
            <w:vMerge w:val="restart"/>
          </w:tcPr>
          <w:p w14:paraId="3E8FA4BC" w14:textId="77777777" w:rsidR="00555B2B" w:rsidRDefault="0058077A">
            <w:pPr>
              <w:keepNext/>
              <w:widowControl w:val="0"/>
              <w:spacing w:after="0" w:line="240" w:lineRule="auto"/>
              <w:jc w:val="center"/>
              <w:rPr>
                <w:b/>
              </w:rPr>
            </w:pPr>
            <w:r>
              <w:rPr>
                <w:b/>
              </w:rPr>
              <w:t>Total</w:t>
            </w:r>
          </w:p>
        </w:tc>
        <w:tc>
          <w:tcPr>
            <w:tcW w:w="5344" w:type="dxa"/>
            <w:gridSpan w:val="4"/>
          </w:tcPr>
          <w:p w14:paraId="0A20BEB9" w14:textId="77777777" w:rsidR="00A50E4F" w:rsidRDefault="00A50E4F"/>
        </w:tc>
        <w:tc>
          <w:tcPr>
            <w:tcW w:w="1368" w:type="dxa"/>
            <w:vMerge w:val="restart"/>
          </w:tcPr>
          <w:p w14:paraId="136BE869" w14:textId="77777777" w:rsidR="00555B2B" w:rsidRDefault="0058077A">
            <w:pPr>
              <w:keepNext/>
              <w:widowControl w:val="0"/>
              <w:spacing w:after="0" w:line="240" w:lineRule="auto"/>
              <w:jc w:val="center"/>
              <w:rPr>
                <w:b/>
              </w:rPr>
            </w:pPr>
            <w:r>
              <w:rPr>
                <w:b/>
              </w:rPr>
              <w:t>White Non-Hispanic</w:t>
            </w:r>
          </w:p>
        </w:tc>
      </w:tr>
      <w:tr w:rsidR="00555B2B" w14:paraId="57C88463" w14:textId="77777777" w:rsidTr="0AF71021">
        <w:trPr>
          <w:cantSplit/>
          <w:trHeight w:val="300"/>
        </w:trPr>
        <w:tc>
          <w:tcPr>
            <w:tcW w:w="1335" w:type="dxa"/>
            <w:vMerge/>
          </w:tcPr>
          <w:p w14:paraId="323B7AAC" w14:textId="77777777" w:rsidR="00555B2B" w:rsidRDefault="00555B2B">
            <w:pPr>
              <w:keepNext/>
              <w:widowControl w:val="0"/>
              <w:spacing w:after="0" w:line="240" w:lineRule="auto"/>
              <w:rPr>
                <w:b/>
              </w:rPr>
            </w:pPr>
          </w:p>
        </w:tc>
        <w:tc>
          <w:tcPr>
            <w:tcW w:w="1335" w:type="dxa"/>
            <w:vMerge/>
          </w:tcPr>
          <w:p w14:paraId="2EDDE3CA" w14:textId="77777777" w:rsidR="00555B2B" w:rsidRDefault="00555B2B">
            <w:pPr>
              <w:keepNext/>
              <w:widowControl w:val="0"/>
              <w:spacing w:after="0" w:line="240" w:lineRule="auto"/>
              <w:rPr>
                <w:b/>
              </w:rPr>
            </w:pPr>
          </w:p>
        </w:tc>
        <w:tc>
          <w:tcPr>
            <w:tcW w:w="1336" w:type="dxa"/>
          </w:tcPr>
          <w:p w14:paraId="117884EB" w14:textId="77777777" w:rsidR="00555B2B" w:rsidRDefault="0058077A">
            <w:pPr>
              <w:keepNext/>
              <w:spacing w:after="0" w:line="240" w:lineRule="auto"/>
              <w:jc w:val="center"/>
              <w:rPr>
                <w:b/>
              </w:rPr>
            </w:pPr>
            <w:r>
              <w:rPr>
                <w:b/>
              </w:rPr>
              <w:t>Alaskan Native or American Indian</w:t>
            </w:r>
          </w:p>
        </w:tc>
        <w:tc>
          <w:tcPr>
            <w:tcW w:w="1336" w:type="dxa"/>
          </w:tcPr>
          <w:p w14:paraId="6EDC675D" w14:textId="14E36CFE" w:rsidR="00A50E4F" w:rsidRDefault="00210DF6">
            <w:r>
              <w:rPr>
                <w:b/>
              </w:rPr>
              <w:t>Asian or Pacific Islander</w:t>
            </w:r>
          </w:p>
        </w:tc>
        <w:tc>
          <w:tcPr>
            <w:tcW w:w="1336" w:type="dxa"/>
          </w:tcPr>
          <w:p w14:paraId="7C054264" w14:textId="69FD14AC" w:rsidR="00A50E4F" w:rsidRDefault="00210DF6">
            <w:r>
              <w:rPr>
                <w:b/>
              </w:rPr>
              <w:t>Black Non-Hispanic</w:t>
            </w:r>
          </w:p>
        </w:tc>
        <w:tc>
          <w:tcPr>
            <w:tcW w:w="1336" w:type="dxa"/>
          </w:tcPr>
          <w:p w14:paraId="13BF53AA" w14:textId="37F975C2" w:rsidR="00A50E4F" w:rsidRDefault="00210DF6">
            <w:r>
              <w:rPr>
                <w:b/>
              </w:rPr>
              <w:t>Hispanic</w:t>
            </w:r>
          </w:p>
        </w:tc>
        <w:tc>
          <w:tcPr>
            <w:tcW w:w="1336" w:type="dxa"/>
            <w:vMerge/>
          </w:tcPr>
          <w:p w14:paraId="28B58BFF" w14:textId="77777777" w:rsidR="00555B2B" w:rsidRDefault="00555B2B">
            <w:pPr>
              <w:keepNext/>
              <w:widowControl w:val="0"/>
              <w:spacing w:after="0" w:line="240" w:lineRule="auto"/>
              <w:jc w:val="center"/>
              <w:rPr>
                <w:b/>
              </w:rPr>
            </w:pPr>
          </w:p>
        </w:tc>
      </w:tr>
    </w:tbl>
    <w:p w14:paraId="428BA022" w14:textId="77777777" w:rsidR="00555B2B" w:rsidRDefault="00555B2B">
      <w:pPr>
        <w:keepNext/>
        <w:widowControl w:val="0"/>
        <w:spacing w:after="0" w:line="240" w:lineRule="auto"/>
        <w:rPr>
          <w:b/>
          <w:vanish/>
          <w:sz w:val="24"/>
          <w:szCs w:val="24"/>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555B2B" w14:paraId="4E9EFAF9" w14:textId="77777777" w:rsidTr="0AF71021">
        <w:trPr>
          <w:cantSplit/>
          <w:trHeight w:val="300"/>
        </w:trPr>
        <w:tc>
          <w:tcPr>
            <w:tcW w:w="9350" w:type="dxa"/>
            <w:gridSpan w:val="7"/>
          </w:tcPr>
          <w:p w14:paraId="55BD78A2" w14:textId="008D3B77" w:rsidR="00A50E4F" w:rsidRPr="00210DF6" w:rsidRDefault="00210DF6" w:rsidP="00210DF6">
            <w:pPr>
              <w:spacing w:after="0"/>
              <w:rPr>
                <w:b/>
                <w:bCs/>
              </w:rPr>
            </w:pPr>
            <w:r w:rsidRPr="00210DF6">
              <w:rPr>
                <w:b/>
                <w:bCs/>
              </w:rPr>
              <w:t>Contracts</w:t>
            </w:r>
          </w:p>
        </w:tc>
      </w:tr>
      <w:tr w:rsidR="00555B2B" w14:paraId="4748D2A9" w14:textId="77777777" w:rsidTr="0AF71021">
        <w:trPr>
          <w:cantSplit/>
          <w:hidden/>
        </w:trPr>
        <w:tc>
          <w:tcPr>
            <w:tcW w:w="1335" w:type="dxa"/>
          </w:tcPr>
          <w:p w14:paraId="440F04B0" w14:textId="77777777" w:rsidR="00555B2B" w:rsidRDefault="00555B2B">
            <w:pPr>
              <w:keepNext/>
              <w:widowControl w:val="0"/>
              <w:spacing w:after="0" w:line="240" w:lineRule="auto"/>
              <w:rPr>
                <w:b/>
                <w:vanish/>
              </w:rPr>
            </w:pPr>
          </w:p>
        </w:tc>
        <w:tc>
          <w:tcPr>
            <w:tcW w:w="1335" w:type="dxa"/>
          </w:tcPr>
          <w:p w14:paraId="74CDC74C" w14:textId="77777777" w:rsidR="00A50E4F" w:rsidRDefault="00A50E4F"/>
        </w:tc>
        <w:tc>
          <w:tcPr>
            <w:tcW w:w="1336" w:type="dxa"/>
          </w:tcPr>
          <w:p w14:paraId="66BEA007" w14:textId="77777777" w:rsidR="00A50E4F" w:rsidRDefault="00A50E4F"/>
        </w:tc>
        <w:tc>
          <w:tcPr>
            <w:tcW w:w="1336" w:type="dxa"/>
          </w:tcPr>
          <w:p w14:paraId="04EE0CA0" w14:textId="77777777" w:rsidR="00A50E4F" w:rsidRDefault="00A50E4F"/>
        </w:tc>
        <w:tc>
          <w:tcPr>
            <w:tcW w:w="1336" w:type="dxa"/>
          </w:tcPr>
          <w:p w14:paraId="7DE3D8E6" w14:textId="77777777" w:rsidR="00A50E4F" w:rsidRDefault="00A50E4F"/>
        </w:tc>
        <w:tc>
          <w:tcPr>
            <w:tcW w:w="1336" w:type="dxa"/>
          </w:tcPr>
          <w:p w14:paraId="03231BC6" w14:textId="77777777" w:rsidR="00A50E4F" w:rsidRDefault="00A50E4F"/>
        </w:tc>
        <w:tc>
          <w:tcPr>
            <w:tcW w:w="1336" w:type="dxa"/>
          </w:tcPr>
          <w:p w14:paraId="0894BDD6" w14:textId="77777777" w:rsidR="00A50E4F" w:rsidRDefault="00A50E4F"/>
        </w:tc>
      </w:tr>
      <w:tr w:rsidR="00555B2B" w14:paraId="11669EDE" w14:textId="77777777" w:rsidTr="0AF71021">
        <w:trPr>
          <w:cantSplit/>
        </w:trPr>
        <w:tc>
          <w:tcPr>
            <w:tcW w:w="1335" w:type="dxa"/>
          </w:tcPr>
          <w:p w14:paraId="4FC672D0" w14:textId="77777777" w:rsidR="00555B2B" w:rsidRDefault="0058077A" w:rsidP="00210DF6">
            <w:pPr>
              <w:spacing w:before="100" w:beforeAutospacing="1" w:after="100" w:afterAutospacing="1"/>
            </w:pPr>
            <w:r>
              <w:rPr>
                <w:color w:val="000000"/>
              </w:rPr>
              <w:t>Dollar Amount</w:t>
            </w:r>
          </w:p>
        </w:tc>
        <w:tc>
          <w:tcPr>
            <w:tcW w:w="1335" w:type="dxa"/>
            <w:vAlign w:val="bottom"/>
          </w:tcPr>
          <w:p w14:paraId="4C587B3B" w14:textId="33C32301" w:rsidR="00A50E4F" w:rsidRDefault="00210DF6">
            <w:r>
              <w:t>0</w:t>
            </w:r>
          </w:p>
        </w:tc>
        <w:tc>
          <w:tcPr>
            <w:tcW w:w="1336" w:type="dxa"/>
            <w:vAlign w:val="bottom"/>
          </w:tcPr>
          <w:p w14:paraId="6DE83A1E" w14:textId="60229F73" w:rsidR="00A50E4F" w:rsidRDefault="00210DF6">
            <w:r>
              <w:t>0</w:t>
            </w:r>
          </w:p>
        </w:tc>
        <w:tc>
          <w:tcPr>
            <w:tcW w:w="1336" w:type="dxa"/>
            <w:vAlign w:val="bottom"/>
          </w:tcPr>
          <w:p w14:paraId="0115F164" w14:textId="2B4BE08F" w:rsidR="00A50E4F" w:rsidRDefault="00210DF6">
            <w:r>
              <w:t>0</w:t>
            </w:r>
          </w:p>
        </w:tc>
        <w:tc>
          <w:tcPr>
            <w:tcW w:w="1336" w:type="dxa"/>
            <w:vAlign w:val="bottom"/>
          </w:tcPr>
          <w:p w14:paraId="3705826A" w14:textId="61D2597D" w:rsidR="00A50E4F" w:rsidRDefault="00210DF6">
            <w:r>
              <w:t>$47,163.86</w:t>
            </w:r>
          </w:p>
        </w:tc>
        <w:tc>
          <w:tcPr>
            <w:tcW w:w="1336" w:type="dxa"/>
            <w:vAlign w:val="bottom"/>
          </w:tcPr>
          <w:p w14:paraId="1014E8BA" w14:textId="18F2A95D" w:rsidR="00A50E4F" w:rsidRDefault="00210DF6">
            <w:r>
              <w:t>0</w:t>
            </w:r>
          </w:p>
        </w:tc>
        <w:tc>
          <w:tcPr>
            <w:tcW w:w="1336" w:type="dxa"/>
            <w:vAlign w:val="bottom"/>
          </w:tcPr>
          <w:p w14:paraId="0B428956" w14:textId="30581F57" w:rsidR="00A50E4F" w:rsidRDefault="00210DF6">
            <w:r>
              <w:t>0</w:t>
            </w:r>
          </w:p>
        </w:tc>
      </w:tr>
      <w:tr w:rsidR="00555B2B" w14:paraId="22B8A1BB" w14:textId="77777777" w:rsidTr="0AF71021">
        <w:trPr>
          <w:cantSplit/>
        </w:trPr>
        <w:tc>
          <w:tcPr>
            <w:tcW w:w="1335" w:type="dxa"/>
          </w:tcPr>
          <w:p w14:paraId="28E96B17" w14:textId="77777777" w:rsidR="00555B2B" w:rsidRDefault="0058077A" w:rsidP="00210DF6">
            <w:pPr>
              <w:spacing w:before="100" w:beforeAutospacing="1" w:after="100" w:afterAutospacing="1"/>
            </w:pPr>
            <w:r>
              <w:rPr>
                <w:color w:val="000000"/>
              </w:rPr>
              <w:t>Number</w:t>
            </w:r>
          </w:p>
        </w:tc>
        <w:tc>
          <w:tcPr>
            <w:tcW w:w="1335" w:type="dxa"/>
            <w:vAlign w:val="bottom"/>
          </w:tcPr>
          <w:p w14:paraId="52078128" w14:textId="3FB71C2E" w:rsidR="00A50E4F" w:rsidRDefault="00210DF6">
            <w:r>
              <w:t>0</w:t>
            </w:r>
          </w:p>
        </w:tc>
        <w:tc>
          <w:tcPr>
            <w:tcW w:w="1336" w:type="dxa"/>
            <w:vAlign w:val="bottom"/>
          </w:tcPr>
          <w:p w14:paraId="2A1C149C" w14:textId="6EC0E6CD" w:rsidR="00A50E4F" w:rsidRDefault="00210DF6">
            <w:r>
              <w:t>0</w:t>
            </w:r>
          </w:p>
        </w:tc>
        <w:tc>
          <w:tcPr>
            <w:tcW w:w="1336" w:type="dxa"/>
            <w:vAlign w:val="bottom"/>
          </w:tcPr>
          <w:p w14:paraId="39C1831C" w14:textId="79633B5C" w:rsidR="00A50E4F" w:rsidRDefault="00210DF6">
            <w:r>
              <w:t>0</w:t>
            </w:r>
          </w:p>
        </w:tc>
        <w:tc>
          <w:tcPr>
            <w:tcW w:w="1336" w:type="dxa"/>
            <w:vAlign w:val="bottom"/>
          </w:tcPr>
          <w:p w14:paraId="1C555518" w14:textId="2564F5AA" w:rsidR="00A50E4F" w:rsidRDefault="00210DF6">
            <w:r>
              <w:t>1</w:t>
            </w:r>
          </w:p>
        </w:tc>
        <w:tc>
          <w:tcPr>
            <w:tcW w:w="1336" w:type="dxa"/>
            <w:vAlign w:val="bottom"/>
          </w:tcPr>
          <w:p w14:paraId="3A5BC822" w14:textId="2EEB564F" w:rsidR="00A50E4F" w:rsidRDefault="00210DF6">
            <w:r>
              <w:t>0</w:t>
            </w:r>
          </w:p>
        </w:tc>
        <w:tc>
          <w:tcPr>
            <w:tcW w:w="1336" w:type="dxa"/>
            <w:vAlign w:val="bottom"/>
          </w:tcPr>
          <w:p w14:paraId="5762EF4A" w14:textId="2D314E01" w:rsidR="00A50E4F" w:rsidRDefault="00210DF6">
            <w:r>
              <w:t>0</w:t>
            </w:r>
          </w:p>
        </w:tc>
      </w:tr>
    </w:tbl>
    <w:p w14:paraId="20214193" w14:textId="77777777" w:rsidR="00555B2B" w:rsidRDefault="00555B2B">
      <w:pPr>
        <w:keepNext/>
        <w:widowControl w:val="0"/>
        <w:spacing w:after="0" w:line="240" w:lineRule="auto"/>
        <w:rPr>
          <w:b/>
          <w:vanish/>
          <w:sz w:val="24"/>
          <w:szCs w:val="24"/>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555B2B" w14:paraId="69666C06" w14:textId="77777777" w:rsidTr="00210DF6">
        <w:trPr>
          <w:cantSplit/>
          <w:trHeight w:val="278"/>
        </w:trPr>
        <w:tc>
          <w:tcPr>
            <w:tcW w:w="9350" w:type="dxa"/>
            <w:gridSpan w:val="7"/>
          </w:tcPr>
          <w:p w14:paraId="624F62F9" w14:textId="50F310C9" w:rsidR="00A50E4F" w:rsidRPr="00210DF6" w:rsidRDefault="00210DF6" w:rsidP="00210DF6">
            <w:pPr>
              <w:spacing w:after="0"/>
              <w:rPr>
                <w:b/>
                <w:bCs/>
              </w:rPr>
            </w:pPr>
            <w:r w:rsidRPr="00210DF6">
              <w:rPr>
                <w:b/>
                <w:bCs/>
              </w:rPr>
              <w:t>Sub-Contracts</w:t>
            </w:r>
          </w:p>
        </w:tc>
      </w:tr>
      <w:tr w:rsidR="00555B2B" w14:paraId="45C6CC0F" w14:textId="77777777" w:rsidTr="0AF71021">
        <w:trPr>
          <w:cantSplit/>
          <w:hidden/>
        </w:trPr>
        <w:tc>
          <w:tcPr>
            <w:tcW w:w="1335" w:type="dxa"/>
          </w:tcPr>
          <w:p w14:paraId="194B01DE" w14:textId="77777777" w:rsidR="00555B2B" w:rsidRDefault="00555B2B">
            <w:pPr>
              <w:keepNext/>
              <w:widowControl w:val="0"/>
              <w:spacing w:after="0" w:line="240" w:lineRule="auto"/>
              <w:rPr>
                <w:b/>
                <w:vanish/>
              </w:rPr>
            </w:pPr>
          </w:p>
        </w:tc>
        <w:tc>
          <w:tcPr>
            <w:tcW w:w="1335" w:type="dxa"/>
          </w:tcPr>
          <w:p w14:paraId="7D05BFCB" w14:textId="77777777" w:rsidR="00A50E4F" w:rsidRDefault="00A50E4F"/>
        </w:tc>
        <w:tc>
          <w:tcPr>
            <w:tcW w:w="1336" w:type="dxa"/>
          </w:tcPr>
          <w:p w14:paraId="3A3309D1" w14:textId="77777777" w:rsidR="00A50E4F" w:rsidRDefault="00A50E4F"/>
        </w:tc>
        <w:tc>
          <w:tcPr>
            <w:tcW w:w="1336" w:type="dxa"/>
          </w:tcPr>
          <w:p w14:paraId="5863129B" w14:textId="77777777" w:rsidR="00A50E4F" w:rsidRDefault="00A50E4F"/>
        </w:tc>
        <w:tc>
          <w:tcPr>
            <w:tcW w:w="1336" w:type="dxa"/>
          </w:tcPr>
          <w:p w14:paraId="02EE1086" w14:textId="77777777" w:rsidR="00A50E4F" w:rsidRDefault="00A50E4F"/>
        </w:tc>
        <w:tc>
          <w:tcPr>
            <w:tcW w:w="1336" w:type="dxa"/>
          </w:tcPr>
          <w:p w14:paraId="17B5CD7F" w14:textId="77777777" w:rsidR="00A50E4F" w:rsidRDefault="00A50E4F"/>
        </w:tc>
        <w:tc>
          <w:tcPr>
            <w:tcW w:w="1336" w:type="dxa"/>
          </w:tcPr>
          <w:p w14:paraId="09822BD8" w14:textId="77777777" w:rsidR="00A50E4F" w:rsidRDefault="00A50E4F"/>
        </w:tc>
      </w:tr>
      <w:tr w:rsidR="00555B2B" w14:paraId="35013883" w14:textId="77777777" w:rsidTr="0AF71021">
        <w:trPr>
          <w:cantSplit/>
        </w:trPr>
        <w:tc>
          <w:tcPr>
            <w:tcW w:w="1335" w:type="dxa"/>
          </w:tcPr>
          <w:p w14:paraId="768F2C98" w14:textId="77777777" w:rsidR="00555B2B" w:rsidRDefault="0058077A">
            <w:pPr>
              <w:spacing w:beforeAutospacing="1" w:afterAutospacing="1"/>
            </w:pPr>
            <w:r>
              <w:rPr>
                <w:color w:val="000000"/>
              </w:rPr>
              <w:t>Number</w:t>
            </w:r>
          </w:p>
        </w:tc>
        <w:tc>
          <w:tcPr>
            <w:tcW w:w="1335" w:type="dxa"/>
            <w:vAlign w:val="bottom"/>
          </w:tcPr>
          <w:p w14:paraId="16D92165" w14:textId="0879A81E" w:rsidR="00A50E4F" w:rsidRDefault="00210DF6">
            <w:r>
              <w:t>0</w:t>
            </w:r>
          </w:p>
        </w:tc>
        <w:tc>
          <w:tcPr>
            <w:tcW w:w="1336" w:type="dxa"/>
            <w:vAlign w:val="bottom"/>
          </w:tcPr>
          <w:p w14:paraId="0C9196DA" w14:textId="3E332BFD" w:rsidR="00A50E4F" w:rsidRDefault="00210DF6">
            <w:r>
              <w:t>0</w:t>
            </w:r>
          </w:p>
        </w:tc>
        <w:tc>
          <w:tcPr>
            <w:tcW w:w="1336" w:type="dxa"/>
            <w:vAlign w:val="bottom"/>
          </w:tcPr>
          <w:p w14:paraId="77008143" w14:textId="4C2B5F61" w:rsidR="00A50E4F" w:rsidRDefault="00210DF6">
            <w:r>
              <w:t>0</w:t>
            </w:r>
          </w:p>
        </w:tc>
        <w:tc>
          <w:tcPr>
            <w:tcW w:w="1336" w:type="dxa"/>
            <w:vAlign w:val="bottom"/>
          </w:tcPr>
          <w:p w14:paraId="50FC0198" w14:textId="36F6D73E" w:rsidR="00A50E4F" w:rsidRDefault="00210DF6">
            <w:r>
              <w:t>0</w:t>
            </w:r>
          </w:p>
        </w:tc>
        <w:tc>
          <w:tcPr>
            <w:tcW w:w="1336" w:type="dxa"/>
            <w:vAlign w:val="bottom"/>
          </w:tcPr>
          <w:p w14:paraId="5310F6D7" w14:textId="36AC388B" w:rsidR="00A50E4F" w:rsidRDefault="00210DF6">
            <w:r>
              <w:t>0</w:t>
            </w:r>
          </w:p>
        </w:tc>
        <w:tc>
          <w:tcPr>
            <w:tcW w:w="1336" w:type="dxa"/>
            <w:vAlign w:val="bottom"/>
          </w:tcPr>
          <w:p w14:paraId="3A78A183" w14:textId="0802103B" w:rsidR="00A50E4F" w:rsidRDefault="00210DF6">
            <w:r>
              <w:t>0</w:t>
            </w:r>
          </w:p>
        </w:tc>
      </w:tr>
      <w:tr w:rsidR="00555B2B" w14:paraId="4C903BBA" w14:textId="77777777" w:rsidTr="0AF71021">
        <w:trPr>
          <w:cantSplit/>
        </w:trPr>
        <w:tc>
          <w:tcPr>
            <w:tcW w:w="1335" w:type="dxa"/>
          </w:tcPr>
          <w:p w14:paraId="0AE1BAC8" w14:textId="77777777" w:rsidR="00555B2B" w:rsidRDefault="0058077A" w:rsidP="00210DF6">
            <w:pPr>
              <w:spacing w:before="100" w:beforeAutospacing="1" w:after="100" w:afterAutospacing="1"/>
            </w:pPr>
            <w:r>
              <w:rPr>
                <w:color w:val="000000"/>
              </w:rPr>
              <w:t>Dollar Amount</w:t>
            </w:r>
          </w:p>
        </w:tc>
        <w:tc>
          <w:tcPr>
            <w:tcW w:w="1335" w:type="dxa"/>
            <w:vAlign w:val="bottom"/>
          </w:tcPr>
          <w:p w14:paraId="67777D0D" w14:textId="523551D8" w:rsidR="00A50E4F" w:rsidRDefault="00210DF6">
            <w:r>
              <w:t>0</w:t>
            </w:r>
          </w:p>
        </w:tc>
        <w:tc>
          <w:tcPr>
            <w:tcW w:w="1336" w:type="dxa"/>
            <w:vAlign w:val="bottom"/>
          </w:tcPr>
          <w:p w14:paraId="79F6F597" w14:textId="62919DF7" w:rsidR="00A50E4F" w:rsidRDefault="00210DF6">
            <w:r>
              <w:t>0</w:t>
            </w:r>
          </w:p>
        </w:tc>
        <w:tc>
          <w:tcPr>
            <w:tcW w:w="1336" w:type="dxa"/>
            <w:vAlign w:val="bottom"/>
          </w:tcPr>
          <w:p w14:paraId="4CA9D659" w14:textId="0765E60C" w:rsidR="00A50E4F" w:rsidRDefault="00210DF6">
            <w:r>
              <w:t>0</w:t>
            </w:r>
          </w:p>
        </w:tc>
        <w:tc>
          <w:tcPr>
            <w:tcW w:w="1336" w:type="dxa"/>
            <w:vAlign w:val="bottom"/>
          </w:tcPr>
          <w:p w14:paraId="31C1013F" w14:textId="6B37219D" w:rsidR="00A50E4F" w:rsidRDefault="00210DF6">
            <w:r>
              <w:t>0</w:t>
            </w:r>
          </w:p>
        </w:tc>
        <w:tc>
          <w:tcPr>
            <w:tcW w:w="1336" w:type="dxa"/>
            <w:vAlign w:val="bottom"/>
          </w:tcPr>
          <w:p w14:paraId="70260A8E" w14:textId="3D117A46" w:rsidR="00A50E4F" w:rsidRDefault="00210DF6">
            <w:r>
              <w:t>0</w:t>
            </w:r>
          </w:p>
        </w:tc>
        <w:tc>
          <w:tcPr>
            <w:tcW w:w="1336" w:type="dxa"/>
            <w:vAlign w:val="bottom"/>
          </w:tcPr>
          <w:p w14:paraId="448B561A" w14:textId="628C9B2E" w:rsidR="00A50E4F" w:rsidRDefault="00210DF6">
            <w:r>
              <w:t>0</w:t>
            </w:r>
          </w:p>
        </w:tc>
      </w:tr>
    </w:tbl>
    <w:p w14:paraId="5450391E" w14:textId="77777777" w:rsidR="00555B2B" w:rsidRDefault="00555B2B">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8"/>
        <w:gridCol w:w="1328"/>
        <w:gridCol w:w="1328"/>
        <w:gridCol w:w="5366"/>
      </w:tblGrid>
      <w:tr w:rsidR="00555B2B" w14:paraId="7AB3A237" w14:textId="77777777" w:rsidTr="006251E8">
        <w:trPr>
          <w:cantSplit/>
          <w:trHeight w:val="300"/>
        </w:trPr>
        <w:tc>
          <w:tcPr>
            <w:tcW w:w="1337" w:type="dxa"/>
          </w:tcPr>
          <w:p w14:paraId="24AC18FB" w14:textId="77777777" w:rsidR="00555B2B" w:rsidRDefault="00555B2B">
            <w:pPr>
              <w:keepNext/>
              <w:widowControl w:val="0"/>
              <w:spacing w:after="0" w:line="240" w:lineRule="auto"/>
              <w:rPr>
                <w:b/>
              </w:rPr>
            </w:pPr>
          </w:p>
        </w:tc>
        <w:tc>
          <w:tcPr>
            <w:tcW w:w="1337" w:type="dxa"/>
          </w:tcPr>
          <w:p w14:paraId="794709EE" w14:textId="77777777" w:rsidR="00555B2B" w:rsidRDefault="0058077A">
            <w:pPr>
              <w:keepNext/>
              <w:widowControl w:val="0"/>
              <w:spacing w:after="0" w:line="240" w:lineRule="auto"/>
              <w:jc w:val="center"/>
              <w:rPr>
                <w:b/>
              </w:rPr>
            </w:pPr>
            <w:r>
              <w:rPr>
                <w:b/>
              </w:rPr>
              <w:t>Total</w:t>
            </w:r>
          </w:p>
        </w:tc>
        <w:tc>
          <w:tcPr>
            <w:tcW w:w="1337" w:type="dxa"/>
          </w:tcPr>
          <w:p w14:paraId="3554EADE" w14:textId="77777777" w:rsidR="00555B2B" w:rsidRDefault="0058077A">
            <w:pPr>
              <w:keepNext/>
              <w:widowControl w:val="0"/>
              <w:spacing w:after="0" w:line="240" w:lineRule="auto"/>
              <w:jc w:val="center"/>
              <w:rPr>
                <w:b/>
                <w:szCs w:val="24"/>
              </w:rPr>
            </w:pPr>
            <w:r>
              <w:rPr>
                <w:b/>
              </w:rPr>
              <w:t>Women Business Enterprises</w:t>
            </w:r>
          </w:p>
        </w:tc>
        <w:tc>
          <w:tcPr>
            <w:tcW w:w="5409" w:type="dxa"/>
          </w:tcPr>
          <w:p w14:paraId="15C326C9" w14:textId="77777777" w:rsidR="00555B2B" w:rsidRDefault="0058077A">
            <w:pPr>
              <w:keepNext/>
              <w:widowControl w:val="0"/>
              <w:spacing w:after="0" w:line="240" w:lineRule="auto"/>
              <w:jc w:val="center"/>
              <w:rPr>
                <w:b/>
                <w:szCs w:val="24"/>
              </w:rPr>
            </w:pPr>
            <w:r>
              <w:rPr>
                <w:b/>
              </w:rPr>
              <w:t>Male</w:t>
            </w:r>
          </w:p>
        </w:tc>
      </w:tr>
    </w:tbl>
    <w:p w14:paraId="586316D5" w14:textId="77777777" w:rsidR="00555B2B" w:rsidRDefault="00555B2B">
      <w:pPr>
        <w:keepNext/>
        <w:widowControl w:val="0"/>
        <w:spacing w:after="0" w:line="240" w:lineRule="auto"/>
        <w:rPr>
          <w:b/>
          <w:vanish/>
          <w:sz w:val="24"/>
          <w:szCs w:val="24"/>
        </w:rPr>
      </w:pPr>
    </w:p>
    <w:tbl>
      <w:tblPr>
        <w:tblW w:w="93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5311"/>
      </w:tblGrid>
      <w:tr w:rsidR="00555B2B" w14:paraId="199DAA9E" w14:textId="77777777" w:rsidTr="006251E8">
        <w:trPr>
          <w:cantSplit/>
          <w:trHeight w:val="300"/>
        </w:trPr>
        <w:tc>
          <w:tcPr>
            <w:tcW w:w="9329" w:type="dxa"/>
            <w:gridSpan w:val="4"/>
          </w:tcPr>
          <w:p w14:paraId="1D4348A1" w14:textId="71A3F5BE" w:rsidR="00A50E4F" w:rsidRPr="00210DF6" w:rsidRDefault="00210DF6" w:rsidP="00210DF6">
            <w:pPr>
              <w:spacing w:after="0"/>
              <w:rPr>
                <w:b/>
                <w:bCs/>
              </w:rPr>
            </w:pPr>
            <w:r w:rsidRPr="00210DF6">
              <w:rPr>
                <w:b/>
                <w:bCs/>
              </w:rPr>
              <w:t>Contracts</w:t>
            </w:r>
          </w:p>
        </w:tc>
      </w:tr>
      <w:tr w:rsidR="00555B2B" w14:paraId="010241CE" w14:textId="77777777" w:rsidTr="00210DF6">
        <w:trPr>
          <w:cantSplit/>
          <w:trHeight w:val="260"/>
          <w:hidden/>
        </w:trPr>
        <w:tc>
          <w:tcPr>
            <w:tcW w:w="1358" w:type="dxa"/>
          </w:tcPr>
          <w:p w14:paraId="50A732C2" w14:textId="77777777" w:rsidR="00555B2B" w:rsidRDefault="00555B2B" w:rsidP="00210DF6">
            <w:pPr>
              <w:keepNext/>
              <w:widowControl w:val="0"/>
              <w:spacing w:after="100" w:afterAutospacing="1" w:line="240" w:lineRule="auto"/>
              <w:rPr>
                <w:b/>
                <w:vanish/>
              </w:rPr>
            </w:pPr>
          </w:p>
        </w:tc>
        <w:tc>
          <w:tcPr>
            <w:tcW w:w="1330" w:type="dxa"/>
          </w:tcPr>
          <w:p w14:paraId="6DCB69A0" w14:textId="77777777" w:rsidR="00A50E4F" w:rsidRDefault="00A50E4F"/>
        </w:tc>
        <w:tc>
          <w:tcPr>
            <w:tcW w:w="1330" w:type="dxa"/>
          </w:tcPr>
          <w:p w14:paraId="3AC51CEC" w14:textId="77777777" w:rsidR="00A50E4F" w:rsidRDefault="00A50E4F"/>
        </w:tc>
        <w:tc>
          <w:tcPr>
            <w:tcW w:w="5311" w:type="dxa"/>
          </w:tcPr>
          <w:p w14:paraId="74F58BF0" w14:textId="77777777" w:rsidR="00A50E4F" w:rsidRDefault="00A50E4F"/>
        </w:tc>
      </w:tr>
      <w:tr w:rsidR="00555B2B" w14:paraId="74CAD18D" w14:textId="77777777" w:rsidTr="006251E8">
        <w:trPr>
          <w:cantSplit/>
          <w:trHeight w:val="300"/>
        </w:trPr>
        <w:tc>
          <w:tcPr>
            <w:tcW w:w="1358" w:type="dxa"/>
          </w:tcPr>
          <w:p w14:paraId="4EA3269F" w14:textId="77777777" w:rsidR="00555B2B" w:rsidRDefault="0058077A">
            <w:pPr>
              <w:spacing w:beforeAutospacing="1" w:afterAutospacing="1"/>
            </w:pPr>
            <w:r>
              <w:rPr>
                <w:color w:val="000000"/>
              </w:rPr>
              <w:t>Dollar Amount</w:t>
            </w:r>
          </w:p>
        </w:tc>
        <w:tc>
          <w:tcPr>
            <w:tcW w:w="1330" w:type="dxa"/>
            <w:vAlign w:val="bottom"/>
          </w:tcPr>
          <w:p w14:paraId="48AACE82" w14:textId="6EEC6B62" w:rsidR="00A50E4F" w:rsidRDefault="00210DF6">
            <w:r>
              <w:t>$47,163.86</w:t>
            </w:r>
          </w:p>
        </w:tc>
        <w:tc>
          <w:tcPr>
            <w:tcW w:w="1330" w:type="dxa"/>
            <w:vAlign w:val="bottom"/>
          </w:tcPr>
          <w:p w14:paraId="21588F17" w14:textId="5D738506" w:rsidR="00A50E4F" w:rsidRDefault="00210DF6">
            <w:r>
              <w:t>0</w:t>
            </w:r>
          </w:p>
        </w:tc>
        <w:tc>
          <w:tcPr>
            <w:tcW w:w="5311" w:type="dxa"/>
            <w:vAlign w:val="bottom"/>
          </w:tcPr>
          <w:p w14:paraId="6FB81E2E" w14:textId="1FAA1CE4" w:rsidR="00A50E4F" w:rsidRDefault="00210DF6">
            <w:r>
              <w:t>$47,163.86</w:t>
            </w:r>
          </w:p>
        </w:tc>
      </w:tr>
      <w:tr w:rsidR="00555B2B" w14:paraId="317FE3BC" w14:textId="77777777" w:rsidTr="006251E8">
        <w:trPr>
          <w:cantSplit/>
          <w:trHeight w:val="300"/>
        </w:trPr>
        <w:tc>
          <w:tcPr>
            <w:tcW w:w="1358" w:type="dxa"/>
          </w:tcPr>
          <w:p w14:paraId="23D5FFD1" w14:textId="77777777" w:rsidR="00555B2B" w:rsidRDefault="0058077A" w:rsidP="00210DF6">
            <w:pPr>
              <w:spacing w:before="100" w:beforeAutospacing="1" w:after="100" w:afterAutospacing="1"/>
            </w:pPr>
            <w:r>
              <w:rPr>
                <w:color w:val="000000"/>
              </w:rPr>
              <w:t>Number</w:t>
            </w:r>
          </w:p>
        </w:tc>
        <w:tc>
          <w:tcPr>
            <w:tcW w:w="1330" w:type="dxa"/>
            <w:vAlign w:val="bottom"/>
          </w:tcPr>
          <w:p w14:paraId="675ABB7B" w14:textId="7EE0850F" w:rsidR="00A50E4F" w:rsidRDefault="00210DF6">
            <w:r>
              <w:t>1</w:t>
            </w:r>
          </w:p>
        </w:tc>
        <w:tc>
          <w:tcPr>
            <w:tcW w:w="1330" w:type="dxa"/>
            <w:vAlign w:val="bottom"/>
          </w:tcPr>
          <w:p w14:paraId="4D28BACC" w14:textId="77CCD7A4" w:rsidR="00A50E4F" w:rsidRDefault="00210DF6">
            <w:r>
              <w:t>0</w:t>
            </w:r>
          </w:p>
        </w:tc>
        <w:tc>
          <w:tcPr>
            <w:tcW w:w="5311" w:type="dxa"/>
            <w:vAlign w:val="bottom"/>
          </w:tcPr>
          <w:p w14:paraId="04011081" w14:textId="5C2321D4" w:rsidR="00A50E4F" w:rsidRDefault="00210DF6">
            <w:r>
              <w:t>1</w:t>
            </w:r>
          </w:p>
        </w:tc>
      </w:tr>
    </w:tbl>
    <w:p w14:paraId="12506529" w14:textId="77777777" w:rsidR="00555B2B" w:rsidRDefault="00555B2B">
      <w:pPr>
        <w:widowControl w:val="0"/>
        <w:spacing w:after="0" w:line="240" w:lineRule="auto"/>
        <w:rPr>
          <w:b/>
          <w:vanish/>
          <w:sz w:val="24"/>
          <w:szCs w:val="24"/>
        </w:rPr>
      </w:pPr>
    </w:p>
    <w:tbl>
      <w:tblPr>
        <w:tblW w:w="93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5311"/>
      </w:tblGrid>
      <w:tr w:rsidR="00555B2B" w14:paraId="57824757" w14:textId="77777777" w:rsidTr="006251E8">
        <w:trPr>
          <w:cantSplit/>
          <w:trHeight w:val="300"/>
        </w:trPr>
        <w:tc>
          <w:tcPr>
            <w:tcW w:w="9329" w:type="dxa"/>
            <w:gridSpan w:val="4"/>
          </w:tcPr>
          <w:p w14:paraId="3575C7E1" w14:textId="172FBAE8" w:rsidR="00A50E4F" w:rsidRPr="00194F24" w:rsidRDefault="00210DF6" w:rsidP="00194F24">
            <w:pPr>
              <w:spacing w:after="0"/>
              <w:rPr>
                <w:b/>
                <w:bCs/>
              </w:rPr>
            </w:pPr>
            <w:r w:rsidRPr="00194F24">
              <w:rPr>
                <w:b/>
                <w:bCs/>
              </w:rPr>
              <w:t>Sub-Contracts</w:t>
            </w:r>
          </w:p>
        </w:tc>
      </w:tr>
      <w:tr w:rsidR="00555B2B" w14:paraId="0A1016E3" w14:textId="77777777" w:rsidTr="006251E8">
        <w:trPr>
          <w:cantSplit/>
          <w:trHeight w:val="300"/>
          <w:hidden/>
        </w:trPr>
        <w:tc>
          <w:tcPr>
            <w:tcW w:w="1358" w:type="dxa"/>
          </w:tcPr>
          <w:p w14:paraId="3BF7C466" w14:textId="77777777" w:rsidR="00555B2B" w:rsidRDefault="00555B2B">
            <w:pPr>
              <w:keepNext/>
              <w:widowControl w:val="0"/>
              <w:spacing w:after="0" w:line="240" w:lineRule="auto"/>
              <w:rPr>
                <w:b/>
                <w:vanish/>
              </w:rPr>
            </w:pPr>
          </w:p>
        </w:tc>
        <w:tc>
          <w:tcPr>
            <w:tcW w:w="1330" w:type="dxa"/>
          </w:tcPr>
          <w:p w14:paraId="23438855" w14:textId="77777777" w:rsidR="00A50E4F" w:rsidRDefault="00A50E4F"/>
        </w:tc>
        <w:tc>
          <w:tcPr>
            <w:tcW w:w="1330" w:type="dxa"/>
          </w:tcPr>
          <w:p w14:paraId="5AB0F713" w14:textId="77777777" w:rsidR="00A50E4F" w:rsidRDefault="00A50E4F"/>
        </w:tc>
        <w:tc>
          <w:tcPr>
            <w:tcW w:w="5311" w:type="dxa"/>
          </w:tcPr>
          <w:p w14:paraId="58CD3721" w14:textId="77777777" w:rsidR="00A50E4F" w:rsidRDefault="00A50E4F"/>
        </w:tc>
      </w:tr>
      <w:tr w:rsidR="00555B2B" w14:paraId="469939A3" w14:textId="77777777" w:rsidTr="006251E8">
        <w:trPr>
          <w:cantSplit/>
          <w:trHeight w:val="300"/>
        </w:trPr>
        <w:tc>
          <w:tcPr>
            <w:tcW w:w="1358" w:type="dxa"/>
          </w:tcPr>
          <w:p w14:paraId="264AC022" w14:textId="77777777" w:rsidR="00555B2B" w:rsidRDefault="0058077A">
            <w:pPr>
              <w:spacing w:beforeAutospacing="1" w:afterAutospacing="1"/>
            </w:pPr>
            <w:r>
              <w:rPr>
                <w:color w:val="000000"/>
              </w:rPr>
              <w:t>Number</w:t>
            </w:r>
          </w:p>
        </w:tc>
        <w:tc>
          <w:tcPr>
            <w:tcW w:w="1330" w:type="dxa"/>
            <w:vAlign w:val="bottom"/>
          </w:tcPr>
          <w:p w14:paraId="32271A2D" w14:textId="65429CBC" w:rsidR="00A50E4F" w:rsidRDefault="00194F24">
            <w:r>
              <w:t>0</w:t>
            </w:r>
          </w:p>
        </w:tc>
        <w:tc>
          <w:tcPr>
            <w:tcW w:w="1330" w:type="dxa"/>
            <w:vAlign w:val="bottom"/>
          </w:tcPr>
          <w:p w14:paraId="3583C6FE" w14:textId="4783B548" w:rsidR="00A50E4F" w:rsidRDefault="00194F24">
            <w:r>
              <w:t>0</w:t>
            </w:r>
          </w:p>
        </w:tc>
        <w:tc>
          <w:tcPr>
            <w:tcW w:w="5311" w:type="dxa"/>
            <w:vAlign w:val="bottom"/>
          </w:tcPr>
          <w:p w14:paraId="428D1E48" w14:textId="22CE74F5" w:rsidR="00A50E4F" w:rsidRDefault="00194F24">
            <w:r>
              <w:t>0</w:t>
            </w:r>
          </w:p>
        </w:tc>
      </w:tr>
      <w:tr w:rsidR="00555B2B" w14:paraId="1BAD8F4F" w14:textId="77777777" w:rsidTr="006251E8">
        <w:trPr>
          <w:cantSplit/>
          <w:trHeight w:val="300"/>
        </w:trPr>
        <w:tc>
          <w:tcPr>
            <w:tcW w:w="1358" w:type="dxa"/>
          </w:tcPr>
          <w:p w14:paraId="7F44EC77" w14:textId="77777777" w:rsidR="00555B2B" w:rsidRDefault="0058077A">
            <w:pPr>
              <w:spacing w:beforeAutospacing="1" w:afterAutospacing="1"/>
            </w:pPr>
            <w:r>
              <w:rPr>
                <w:color w:val="000000"/>
              </w:rPr>
              <w:t>Dollar Amount</w:t>
            </w:r>
          </w:p>
        </w:tc>
        <w:tc>
          <w:tcPr>
            <w:tcW w:w="1330" w:type="dxa"/>
            <w:vAlign w:val="bottom"/>
          </w:tcPr>
          <w:p w14:paraId="5E53E77A" w14:textId="6569A0C3" w:rsidR="00A50E4F" w:rsidRDefault="00194F24">
            <w:r>
              <w:t>0</w:t>
            </w:r>
          </w:p>
        </w:tc>
        <w:tc>
          <w:tcPr>
            <w:tcW w:w="1330" w:type="dxa"/>
            <w:vAlign w:val="bottom"/>
          </w:tcPr>
          <w:p w14:paraId="1B1C7EC7" w14:textId="204936CD" w:rsidR="00A50E4F" w:rsidRDefault="00194F24">
            <w:r>
              <w:t>0</w:t>
            </w:r>
          </w:p>
        </w:tc>
        <w:tc>
          <w:tcPr>
            <w:tcW w:w="5311" w:type="dxa"/>
            <w:vAlign w:val="bottom"/>
          </w:tcPr>
          <w:p w14:paraId="524DCB4A" w14:textId="33C827C5" w:rsidR="00A50E4F" w:rsidRDefault="00194F24">
            <w:r>
              <w:t>0</w:t>
            </w:r>
          </w:p>
        </w:tc>
      </w:tr>
      <w:tr w:rsidR="00194F24" w14:paraId="7B221D5B" w14:textId="77777777" w:rsidTr="006251E8">
        <w:trPr>
          <w:cantSplit/>
          <w:trHeight w:val="300"/>
        </w:trPr>
        <w:tc>
          <w:tcPr>
            <w:tcW w:w="1358" w:type="dxa"/>
          </w:tcPr>
          <w:p w14:paraId="3A01A3BC" w14:textId="77777777" w:rsidR="00194F24" w:rsidRDefault="00194F24">
            <w:pPr>
              <w:spacing w:beforeAutospacing="1" w:afterAutospacing="1"/>
              <w:rPr>
                <w:color w:val="000000"/>
              </w:rPr>
            </w:pPr>
          </w:p>
        </w:tc>
        <w:tc>
          <w:tcPr>
            <w:tcW w:w="1330" w:type="dxa"/>
            <w:vAlign w:val="bottom"/>
          </w:tcPr>
          <w:p w14:paraId="6BF32E73" w14:textId="77777777" w:rsidR="00194F24" w:rsidRDefault="00194F24"/>
        </w:tc>
        <w:tc>
          <w:tcPr>
            <w:tcW w:w="1330" w:type="dxa"/>
            <w:vAlign w:val="bottom"/>
          </w:tcPr>
          <w:p w14:paraId="6B49D2BB" w14:textId="77777777" w:rsidR="00194F24" w:rsidRDefault="00194F24"/>
        </w:tc>
        <w:tc>
          <w:tcPr>
            <w:tcW w:w="5311" w:type="dxa"/>
            <w:vAlign w:val="bottom"/>
          </w:tcPr>
          <w:p w14:paraId="0A2651F0" w14:textId="77777777" w:rsidR="00194F24" w:rsidRDefault="00194F24"/>
        </w:tc>
      </w:tr>
    </w:tbl>
    <w:p w14:paraId="6C5F99A5" w14:textId="77777777" w:rsidR="00555B2B" w:rsidRDefault="0058077A" w:rsidP="0AF71021">
      <w:pPr>
        <w:pStyle w:val="Caption"/>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8</w:t>
      </w:r>
      <w:r w:rsidRPr="0AF71021">
        <w:rPr>
          <w:rFonts w:asciiTheme="minorHAnsi" w:hAnsiTheme="minorHAnsi"/>
        </w:rPr>
        <w:fldChar w:fldCharType="end"/>
      </w:r>
      <w:r w:rsidRPr="0AF71021">
        <w:rPr>
          <w:rFonts w:asciiTheme="minorHAnsi" w:hAnsiTheme="minorHAnsi"/>
        </w:rPr>
        <w:t xml:space="preserve"> - Minority Business and Women Business Enterprises</w:t>
      </w:r>
    </w:p>
    <w:p w14:paraId="2A9647E1" w14:textId="77777777" w:rsidR="00555B2B" w:rsidRDefault="00555B2B">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B2B" w14:paraId="3B39A246" w14:textId="77777777">
        <w:tc>
          <w:tcPr>
            <w:tcW w:w="9576" w:type="dxa"/>
          </w:tcPr>
          <w:p w14:paraId="62503CCE" w14:textId="77777777" w:rsidR="00555B2B" w:rsidRDefault="0058077A">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2D131F70" w14:textId="77777777" w:rsidR="00555B2B" w:rsidRDefault="00555B2B">
      <w:pPr>
        <w:keepNext/>
        <w:widowControl w:val="0"/>
        <w:spacing w:after="0" w:line="240" w:lineRule="auto"/>
        <w:rPr>
          <w:b/>
          <w:vanish/>
          <w:sz w:val="24"/>
          <w:szCs w:val="24"/>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68"/>
        <w:gridCol w:w="791"/>
        <w:gridCol w:w="1480"/>
        <w:gridCol w:w="1393"/>
        <w:gridCol w:w="1428"/>
        <w:gridCol w:w="1428"/>
        <w:gridCol w:w="1462"/>
      </w:tblGrid>
      <w:tr w:rsidR="00555B2B" w14:paraId="6328C9F7" w14:textId="77777777" w:rsidTr="00194F24">
        <w:trPr>
          <w:trHeight w:val="300"/>
        </w:trPr>
        <w:tc>
          <w:tcPr>
            <w:tcW w:w="1368" w:type="dxa"/>
            <w:vMerge w:val="restart"/>
          </w:tcPr>
          <w:p w14:paraId="51A9D484" w14:textId="77777777" w:rsidR="00555B2B" w:rsidRDefault="00555B2B">
            <w:pPr>
              <w:keepNext/>
              <w:widowControl w:val="0"/>
              <w:spacing w:after="0" w:line="240" w:lineRule="auto"/>
              <w:jc w:val="center"/>
              <w:rPr>
                <w:b/>
              </w:rPr>
            </w:pPr>
          </w:p>
        </w:tc>
        <w:tc>
          <w:tcPr>
            <w:tcW w:w="791" w:type="dxa"/>
            <w:vMerge w:val="restart"/>
          </w:tcPr>
          <w:p w14:paraId="7B4ABB12" w14:textId="77777777" w:rsidR="00555B2B" w:rsidRDefault="0058077A">
            <w:pPr>
              <w:keepNext/>
              <w:widowControl w:val="0"/>
              <w:spacing w:after="0" w:line="240" w:lineRule="auto"/>
              <w:jc w:val="center"/>
              <w:rPr>
                <w:b/>
              </w:rPr>
            </w:pPr>
            <w:r>
              <w:rPr>
                <w:b/>
              </w:rPr>
              <w:t>Total</w:t>
            </w:r>
          </w:p>
        </w:tc>
        <w:tc>
          <w:tcPr>
            <w:tcW w:w="5729" w:type="dxa"/>
            <w:gridSpan w:val="4"/>
          </w:tcPr>
          <w:p w14:paraId="1335F257" w14:textId="77777777" w:rsidR="00A50E4F" w:rsidRDefault="00A50E4F"/>
        </w:tc>
        <w:tc>
          <w:tcPr>
            <w:tcW w:w="1462" w:type="dxa"/>
            <w:vMerge w:val="restart"/>
          </w:tcPr>
          <w:p w14:paraId="3F6A115C" w14:textId="77777777" w:rsidR="00555B2B" w:rsidRDefault="0058077A">
            <w:pPr>
              <w:keepNext/>
              <w:widowControl w:val="0"/>
              <w:spacing w:after="0" w:line="240" w:lineRule="auto"/>
              <w:jc w:val="center"/>
              <w:rPr>
                <w:b/>
              </w:rPr>
            </w:pPr>
            <w:r>
              <w:rPr>
                <w:b/>
              </w:rPr>
              <w:t>White Non-Hispanic</w:t>
            </w:r>
          </w:p>
        </w:tc>
      </w:tr>
      <w:tr w:rsidR="00194F24" w14:paraId="4040BF6A" w14:textId="77777777" w:rsidTr="00194F24">
        <w:trPr>
          <w:trHeight w:val="300"/>
        </w:trPr>
        <w:tc>
          <w:tcPr>
            <w:tcW w:w="1368" w:type="dxa"/>
            <w:vMerge/>
          </w:tcPr>
          <w:p w14:paraId="2ED8F6E0" w14:textId="77777777" w:rsidR="00194F24" w:rsidRDefault="00194F24" w:rsidP="00194F24">
            <w:pPr>
              <w:keepNext/>
              <w:widowControl w:val="0"/>
              <w:spacing w:after="0" w:line="240" w:lineRule="auto"/>
              <w:jc w:val="center"/>
              <w:rPr>
                <w:b/>
              </w:rPr>
            </w:pPr>
          </w:p>
        </w:tc>
        <w:tc>
          <w:tcPr>
            <w:tcW w:w="791" w:type="dxa"/>
            <w:vMerge/>
          </w:tcPr>
          <w:p w14:paraId="5483C9AA" w14:textId="77777777" w:rsidR="00194F24" w:rsidRDefault="00194F24" w:rsidP="00194F24">
            <w:pPr>
              <w:keepNext/>
              <w:widowControl w:val="0"/>
              <w:spacing w:after="0" w:line="240" w:lineRule="auto"/>
              <w:jc w:val="center"/>
              <w:rPr>
                <w:b/>
              </w:rPr>
            </w:pPr>
          </w:p>
        </w:tc>
        <w:tc>
          <w:tcPr>
            <w:tcW w:w="1480" w:type="dxa"/>
          </w:tcPr>
          <w:p w14:paraId="5EDC53E0" w14:textId="77777777" w:rsidR="00194F24" w:rsidRDefault="00194F24" w:rsidP="00194F24">
            <w:pPr>
              <w:keepNext/>
              <w:widowControl w:val="0"/>
              <w:jc w:val="center"/>
              <w:rPr>
                <w:b/>
              </w:rPr>
            </w:pPr>
            <w:r>
              <w:rPr>
                <w:b/>
              </w:rPr>
              <w:t>Alaskan Native or American Indian</w:t>
            </w:r>
          </w:p>
        </w:tc>
        <w:tc>
          <w:tcPr>
            <w:tcW w:w="1393" w:type="dxa"/>
          </w:tcPr>
          <w:p w14:paraId="4CFAF117" w14:textId="38C010BD" w:rsidR="00194F24" w:rsidRDefault="00194F24" w:rsidP="00194F24">
            <w:r>
              <w:rPr>
                <w:b/>
              </w:rPr>
              <w:t>Asian or Pacific Islander</w:t>
            </w:r>
          </w:p>
        </w:tc>
        <w:tc>
          <w:tcPr>
            <w:tcW w:w="1428" w:type="dxa"/>
          </w:tcPr>
          <w:p w14:paraId="58B1CB47" w14:textId="3B4EF47C" w:rsidR="00194F24" w:rsidRDefault="00194F24" w:rsidP="00194F24">
            <w:r>
              <w:rPr>
                <w:b/>
              </w:rPr>
              <w:t>Black Non-Hispanic</w:t>
            </w:r>
          </w:p>
        </w:tc>
        <w:tc>
          <w:tcPr>
            <w:tcW w:w="1428" w:type="dxa"/>
          </w:tcPr>
          <w:p w14:paraId="5E707620" w14:textId="5F05FA02" w:rsidR="00194F24" w:rsidRDefault="00194F24" w:rsidP="00194F24">
            <w:r>
              <w:rPr>
                <w:b/>
              </w:rPr>
              <w:t>Hispanic</w:t>
            </w:r>
          </w:p>
        </w:tc>
        <w:tc>
          <w:tcPr>
            <w:tcW w:w="1462" w:type="dxa"/>
            <w:vMerge/>
          </w:tcPr>
          <w:p w14:paraId="4FE9326F" w14:textId="77777777" w:rsidR="00194F24" w:rsidRDefault="00194F24" w:rsidP="00194F24">
            <w:pPr>
              <w:keepNext/>
              <w:widowControl w:val="0"/>
              <w:spacing w:after="0" w:line="240" w:lineRule="auto"/>
              <w:jc w:val="center"/>
              <w:rPr>
                <w:b/>
              </w:rPr>
            </w:pPr>
          </w:p>
        </w:tc>
      </w:tr>
      <w:tr w:rsidR="00194F24" w14:paraId="566C0E13" w14:textId="77777777" w:rsidTr="00194F24">
        <w:trPr>
          <w:cantSplit/>
        </w:trPr>
        <w:tc>
          <w:tcPr>
            <w:tcW w:w="1368" w:type="dxa"/>
          </w:tcPr>
          <w:p w14:paraId="0EFC1F5A" w14:textId="77777777" w:rsidR="00194F24" w:rsidRDefault="00194F24" w:rsidP="00194F24">
            <w:pPr>
              <w:spacing w:beforeAutospacing="1" w:afterAutospacing="1"/>
            </w:pPr>
            <w:r>
              <w:rPr>
                <w:color w:val="000000"/>
              </w:rPr>
              <w:t>Number</w:t>
            </w:r>
          </w:p>
        </w:tc>
        <w:tc>
          <w:tcPr>
            <w:tcW w:w="791" w:type="dxa"/>
            <w:vAlign w:val="bottom"/>
          </w:tcPr>
          <w:p w14:paraId="794B6B00" w14:textId="77777777" w:rsidR="00194F24" w:rsidRDefault="00194F24" w:rsidP="00194F24">
            <w:pPr>
              <w:spacing w:beforeAutospacing="1" w:afterAutospacing="1"/>
              <w:jc w:val="right"/>
            </w:pPr>
            <w:r>
              <w:rPr>
                <w:color w:val="000000"/>
              </w:rPr>
              <w:t>0</w:t>
            </w:r>
          </w:p>
        </w:tc>
        <w:tc>
          <w:tcPr>
            <w:tcW w:w="1480" w:type="dxa"/>
            <w:vAlign w:val="bottom"/>
          </w:tcPr>
          <w:p w14:paraId="5D54DEC0" w14:textId="77777777" w:rsidR="00194F24" w:rsidRDefault="00194F24" w:rsidP="00194F24">
            <w:pPr>
              <w:spacing w:beforeAutospacing="1" w:afterAutospacing="1"/>
              <w:jc w:val="right"/>
            </w:pPr>
            <w:r>
              <w:rPr>
                <w:color w:val="000000"/>
              </w:rPr>
              <w:t>0</w:t>
            </w:r>
          </w:p>
        </w:tc>
        <w:tc>
          <w:tcPr>
            <w:tcW w:w="1393" w:type="dxa"/>
            <w:vAlign w:val="bottom"/>
          </w:tcPr>
          <w:p w14:paraId="61DB829C" w14:textId="03550B14" w:rsidR="00194F24" w:rsidRDefault="00194F24" w:rsidP="00194F24">
            <w:r>
              <w:t>0</w:t>
            </w:r>
          </w:p>
        </w:tc>
        <w:tc>
          <w:tcPr>
            <w:tcW w:w="1428" w:type="dxa"/>
            <w:vAlign w:val="bottom"/>
          </w:tcPr>
          <w:p w14:paraId="77C994C8" w14:textId="7096A467" w:rsidR="00194F24" w:rsidRDefault="00194F24" w:rsidP="00194F24">
            <w:r>
              <w:t>0</w:t>
            </w:r>
          </w:p>
        </w:tc>
        <w:tc>
          <w:tcPr>
            <w:tcW w:w="1428" w:type="dxa"/>
            <w:vAlign w:val="bottom"/>
          </w:tcPr>
          <w:p w14:paraId="3DA7FE77" w14:textId="5E2DEEB7" w:rsidR="00194F24" w:rsidRDefault="00194F24" w:rsidP="00194F24">
            <w:r>
              <w:t>0</w:t>
            </w:r>
          </w:p>
        </w:tc>
        <w:tc>
          <w:tcPr>
            <w:tcW w:w="1462" w:type="dxa"/>
            <w:vAlign w:val="bottom"/>
          </w:tcPr>
          <w:p w14:paraId="3473B824" w14:textId="77777777" w:rsidR="00194F24" w:rsidRDefault="00194F24" w:rsidP="00194F24">
            <w:pPr>
              <w:spacing w:beforeAutospacing="1" w:afterAutospacing="1"/>
              <w:jc w:val="right"/>
            </w:pPr>
            <w:r>
              <w:rPr>
                <w:color w:val="000000"/>
              </w:rPr>
              <w:t>0</w:t>
            </w:r>
          </w:p>
        </w:tc>
      </w:tr>
      <w:tr w:rsidR="00194F24" w14:paraId="2D3C8A13" w14:textId="77777777" w:rsidTr="00194F24">
        <w:trPr>
          <w:cantSplit/>
        </w:trPr>
        <w:tc>
          <w:tcPr>
            <w:tcW w:w="1368" w:type="dxa"/>
          </w:tcPr>
          <w:p w14:paraId="0A64D64F" w14:textId="77777777" w:rsidR="00194F24" w:rsidRDefault="00194F24" w:rsidP="00194F24">
            <w:pPr>
              <w:spacing w:beforeAutospacing="1" w:afterAutospacing="1"/>
            </w:pPr>
            <w:r>
              <w:rPr>
                <w:color w:val="000000"/>
              </w:rPr>
              <w:t>Dollar Amount</w:t>
            </w:r>
          </w:p>
        </w:tc>
        <w:tc>
          <w:tcPr>
            <w:tcW w:w="791" w:type="dxa"/>
            <w:vAlign w:val="bottom"/>
          </w:tcPr>
          <w:p w14:paraId="597E3B49" w14:textId="77777777" w:rsidR="00194F24" w:rsidRDefault="00194F24" w:rsidP="00194F24">
            <w:pPr>
              <w:spacing w:beforeAutospacing="1" w:afterAutospacing="1"/>
              <w:jc w:val="right"/>
            </w:pPr>
            <w:r>
              <w:rPr>
                <w:color w:val="000000"/>
              </w:rPr>
              <w:t>0</w:t>
            </w:r>
          </w:p>
        </w:tc>
        <w:tc>
          <w:tcPr>
            <w:tcW w:w="1480" w:type="dxa"/>
            <w:vAlign w:val="bottom"/>
          </w:tcPr>
          <w:p w14:paraId="5AB54E43" w14:textId="77777777" w:rsidR="00194F24" w:rsidRDefault="00194F24" w:rsidP="00194F24">
            <w:pPr>
              <w:spacing w:beforeAutospacing="1" w:afterAutospacing="1"/>
              <w:jc w:val="right"/>
            </w:pPr>
            <w:r>
              <w:rPr>
                <w:color w:val="000000"/>
              </w:rPr>
              <w:t>0</w:t>
            </w:r>
          </w:p>
        </w:tc>
        <w:tc>
          <w:tcPr>
            <w:tcW w:w="1393" w:type="dxa"/>
            <w:vAlign w:val="bottom"/>
          </w:tcPr>
          <w:p w14:paraId="451087B1" w14:textId="232BD798" w:rsidR="00194F24" w:rsidRDefault="00194F24" w:rsidP="00194F24">
            <w:r>
              <w:t>0</w:t>
            </w:r>
          </w:p>
        </w:tc>
        <w:tc>
          <w:tcPr>
            <w:tcW w:w="1428" w:type="dxa"/>
            <w:vAlign w:val="bottom"/>
          </w:tcPr>
          <w:p w14:paraId="12B66BE9" w14:textId="63FAB862" w:rsidR="00194F24" w:rsidRDefault="00194F24" w:rsidP="00194F24">
            <w:r>
              <w:t>0</w:t>
            </w:r>
          </w:p>
        </w:tc>
        <w:tc>
          <w:tcPr>
            <w:tcW w:w="1428" w:type="dxa"/>
            <w:vAlign w:val="bottom"/>
          </w:tcPr>
          <w:p w14:paraId="32E79C90" w14:textId="24808376" w:rsidR="00194F24" w:rsidRDefault="00194F24" w:rsidP="00194F24">
            <w:r>
              <w:t>0</w:t>
            </w:r>
          </w:p>
        </w:tc>
        <w:tc>
          <w:tcPr>
            <w:tcW w:w="1462" w:type="dxa"/>
            <w:vAlign w:val="bottom"/>
          </w:tcPr>
          <w:p w14:paraId="4B26DEC2" w14:textId="3FC045F5" w:rsidR="00194F24" w:rsidRDefault="00194F24" w:rsidP="00194F24">
            <w:pPr>
              <w:spacing w:beforeAutospacing="1" w:afterAutospacing="1"/>
              <w:jc w:val="right"/>
            </w:pPr>
            <w:r>
              <w:rPr>
                <w:color w:val="000000"/>
              </w:rPr>
              <w:t>0</w:t>
            </w:r>
          </w:p>
        </w:tc>
      </w:tr>
    </w:tbl>
    <w:p w14:paraId="0689CD54"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9</w:t>
      </w:r>
      <w:r w:rsidRPr="0AF71021">
        <w:rPr>
          <w:rFonts w:asciiTheme="minorHAnsi" w:hAnsiTheme="minorHAnsi"/>
        </w:rPr>
        <w:fldChar w:fldCharType="end"/>
      </w:r>
      <w:r w:rsidRPr="0AF71021">
        <w:rPr>
          <w:rFonts w:asciiTheme="minorHAnsi" w:hAnsiTheme="minorHAnsi"/>
        </w:rPr>
        <w:t xml:space="preserve"> – Minority Owners of Rental Property</w:t>
      </w:r>
    </w:p>
    <w:p w14:paraId="6F96BB7F" w14:textId="77777777" w:rsidR="00555B2B" w:rsidRDefault="00555B2B">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5B2B" w14:paraId="1F29CF64" w14:textId="77777777">
        <w:tc>
          <w:tcPr>
            <w:tcW w:w="13176" w:type="dxa"/>
          </w:tcPr>
          <w:p w14:paraId="04A3E8E2" w14:textId="77777777" w:rsidR="00555B2B" w:rsidRDefault="0058077A">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14:paraId="2205E607" w14:textId="77777777" w:rsidR="00555B2B" w:rsidRDefault="00555B2B">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555B2B" w14:paraId="732787BE" w14:textId="77777777">
        <w:trPr>
          <w:cantSplit/>
          <w:hidden/>
        </w:trPr>
        <w:tc>
          <w:tcPr>
            <w:tcW w:w="4392" w:type="dxa"/>
          </w:tcPr>
          <w:p w14:paraId="575664F2" w14:textId="77777777" w:rsidR="00555B2B" w:rsidRDefault="00555B2B">
            <w:pPr>
              <w:keepNext/>
              <w:widowControl w:val="0"/>
              <w:spacing w:after="0" w:line="240" w:lineRule="auto"/>
              <w:rPr>
                <w:b/>
                <w:vanish/>
              </w:rPr>
            </w:pPr>
          </w:p>
        </w:tc>
        <w:tc>
          <w:tcPr>
            <w:tcW w:w="2314" w:type="dxa"/>
          </w:tcPr>
          <w:p w14:paraId="286B7FEB" w14:textId="77777777" w:rsidR="00555B2B" w:rsidRDefault="0058077A">
            <w:pPr>
              <w:keepNext/>
              <w:widowControl w:val="0"/>
              <w:spacing w:after="0" w:line="240" w:lineRule="auto"/>
              <w:jc w:val="center"/>
              <w:rPr>
                <w:b/>
                <w:vanish/>
              </w:rPr>
            </w:pPr>
            <w:r>
              <w:rPr>
                <w:b/>
                <w:vanish/>
              </w:rPr>
              <w:t>Number</w:t>
            </w:r>
          </w:p>
        </w:tc>
        <w:tc>
          <w:tcPr>
            <w:tcW w:w="2314" w:type="dxa"/>
          </w:tcPr>
          <w:p w14:paraId="3F171258" w14:textId="77777777" w:rsidR="00555B2B" w:rsidRDefault="0058077A">
            <w:pPr>
              <w:keepNext/>
              <w:widowControl w:val="0"/>
              <w:spacing w:after="0" w:line="240" w:lineRule="auto"/>
              <w:jc w:val="center"/>
              <w:rPr>
                <w:b/>
                <w:vanish/>
              </w:rPr>
            </w:pPr>
            <w:r>
              <w:rPr>
                <w:b/>
                <w:vanish/>
              </w:rPr>
              <w:t>Cost</w:t>
            </w:r>
          </w:p>
        </w:tc>
      </w:tr>
      <w:tr w:rsidR="00555B2B" w14:paraId="1C9B3B2E" w14:textId="77777777">
        <w:trPr>
          <w:cantSplit/>
        </w:trPr>
        <w:tc>
          <w:tcPr>
            <w:tcW w:w="3163" w:type="dxa"/>
          </w:tcPr>
          <w:p w14:paraId="4E8F72B1" w14:textId="77777777" w:rsidR="00555B2B" w:rsidRDefault="0058077A">
            <w:pPr>
              <w:spacing w:beforeAutospacing="1" w:afterAutospacing="1"/>
            </w:pPr>
            <w:r>
              <w:rPr>
                <w:color w:val="000000"/>
              </w:rPr>
              <w:t>Parcels Acquired</w:t>
            </w:r>
          </w:p>
        </w:tc>
        <w:tc>
          <w:tcPr>
            <w:tcW w:w="1701" w:type="dxa"/>
            <w:vAlign w:val="bottom"/>
          </w:tcPr>
          <w:p w14:paraId="702FD514" w14:textId="77777777" w:rsidR="00555B2B" w:rsidRDefault="0058077A">
            <w:pPr>
              <w:spacing w:beforeAutospacing="1" w:afterAutospacing="1"/>
              <w:jc w:val="right"/>
            </w:pPr>
            <w:r>
              <w:rPr>
                <w:color w:val="000000"/>
              </w:rPr>
              <w:t>0</w:t>
            </w:r>
          </w:p>
        </w:tc>
        <w:tc>
          <w:tcPr>
            <w:tcW w:w="1701" w:type="dxa"/>
            <w:vAlign w:val="bottom"/>
          </w:tcPr>
          <w:p w14:paraId="760E45DE" w14:textId="77777777" w:rsidR="00555B2B" w:rsidRDefault="0058077A">
            <w:pPr>
              <w:spacing w:beforeAutospacing="1" w:afterAutospacing="1"/>
              <w:jc w:val="right"/>
            </w:pPr>
            <w:r>
              <w:rPr>
                <w:color w:val="000000"/>
              </w:rPr>
              <w:t>0</w:t>
            </w:r>
          </w:p>
        </w:tc>
      </w:tr>
      <w:tr w:rsidR="00555B2B" w14:paraId="5E90EC97" w14:textId="77777777">
        <w:trPr>
          <w:cantSplit/>
        </w:trPr>
        <w:tc>
          <w:tcPr>
            <w:tcW w:w="3163" w:type="dxa"/>
          </w:tcPr>
          <w:p w14:paraId="0A3A0BFC" w14:textId="77777777" w:rsidR="00555B2B" w:rsidRDefault="0058077A">
            <w:pPr>
              <w:spacing w:beforeAutospacing="1" w:afterAutospacing="1"/>
            </w:pPr>
            <w:r>
              <w:rPr>
                <w:color w:val="000000"/>
              </w:rPr>
              <w:t>Businesses Displaced</w:t>
            </w:r>
          </w:p>
        </w:tc>
        <w:tc>
          <w:tcPr>
            <w:tcW w:w="1701" w:type="dxa"/>
            <w:vAlign w:val="bottom"/>
          </w:tcPr>
          <w:p w14:paraId="6FEA85D4" w14:textId="77777777" w:rsidR="00555B2B" w:rsidRDefault="0058077A">
            <w:pPr>
              <w:spacing w:beforeAutospacing="1" w:afterAutospacing="1"/>
              <w:jc w:val="right"/>
            </w:pPr>
            <w:r>
              <w:rPr>
                <w:color w:val="000000"/>
              </w:rPr>
              <w:t>0</w:t>
            </w:r>
          </w:p>
        </w:tc>
        <w:tc>
          <w:tcPr>
            <w:tcW w:w="1701" w:type="dxa"/>
            <w:vAlign w:val="bottom"/>
          </w:tcPr>
          <w:p w14:paraId="131D1A91" w14:textId="77777777" w:rsidR="00555B2B" w:rsidRDefault="0058077A">
            <w:pPr>
              <w:spacing w:beforeAutospacing="1" w:afterAutospacing="1"/>
              <w:jc w:val="right"/>
            </w:pPr>
            <w:r>
              <w:rPr>
                <w:color w:val="000000"/>
              </w:rPr>
              <w:t>0</w:t>
            </w:r>
          </w:p>
        </w:tc>
      </w:tr>
      <w:tr w:rsidR="00555B2B" w14:paraId="2B7986AA" w14:textId="77777777">
        <w:trPr>
          <w:cantSplit/>
        </w:trPr>
        <w:tc>
          <w:tcPr>
            <w:tcW w:w="3163" w:type="dxa"/>
          </w:tcPr>
          <w:p w14:paraId="78D1345E" w14:textId="77777777" w:rsidR="00555B2B" w:rsidRDefault="0058077A">
            <w:pPr>
              <w:spacing w:beforeAutospacing="1" w:afterAutospacing="1"/>
            </w:pPr>
            <w:r>
              <w:rPr>
                <w:color w:val="000000"/>
              </w:rPr>
              <w:t>Nonprofit Organizations Displaced</w:t>
            </w:r>
          </w:p>
        </w:tc>
        <w:tc>
          <w:tcPr>
            <w:tcW w:w="1701" w:type="dxa"/>
            <w:vAlign w:val="bottom"/>
          </w:tcPr>
          <w:p w14:paraId="0CD30059" w14:textId="77777777" w:rsidR="00555B2B" w:rsidRDefault="0058077A">
            <w:pPr>
              <w:spacing w:beforeAutospacing="1" w:afterAutospacing="1"/>
              <w:jc w:val="right"/>
            </w:pPr>
            <w:r>
              <w:rPr>
                <w:color w:val="000000"/>
              </w:rPr>
              <w:t>0</w:t>
            </w:r>
          </w:p>
        </w:tc>
        <w:tc>
          <w:tcPr>
            <w:tcW w:w="1701" w:type="dxa"/>
            <w:vAlign w:val="bottom"/>
          </w:tcPr>
          <w:p w14:paraId="15C11619" w14:textId="77777777" w:rsidR="00555B2B" w:rsidRDefault="0058077A">
            <w:pPr>
              <w:spacing w:beforeAutospacing="1" w:afterAutospacing="1"/>
              <w:jc w:val="right"/>
            </w:pPr>
            <w:r>
              <w:rPr>
                <w:color w:val="000000"/>
              </w:rPr>
              <w:t>0</w:t>
            </w:r>
          </w:p>
        </w:tc>
      </w:tr>
      <w:tr w:rsidR="00555B2B" w14:paraId="5F7AEA5F" w14:textId="77777777">
        <w:trPr>
          <w:cantSplit/>
        </w:trPr>
        <w:tc>
          <w:tcPr>
            <w:tcW w:w="3163" w:type="dxa"/>
          </w:tcPr>
          <w:p w14:paraId="702FE978" w14:textId="77777777" w:rsidR="00555B2B" w:rsidRDefault="0058077A">
            <w:pPr>
              <w:spacing w:beforeAutospacing="1" w:afterAutospacing="1"/>
            </w:pPr>
            <w:r>
              <w:rPr>
                <w:color w:val="000000"/>
              </w:rPr>
              <w:t>Households Temporarily Relocated, not Displaced</w:t>
            </w:r>
          </w:p>
        </w:tc>
        <w:tc>
          <w:tcPr>
            <w:tcW w:w="1701" w:type="dxa"/>
            <w:vAlign w:val="bottom"/>
          </w:tcPr>
          <w:p w14:paraId="791C85E5" w14:textId="77777777" w:rsidR="00555B2B" w:rsidRDefault="0058077A">
            <w:pPr>
              <w:spacing w:beforeAutospacing="1" w:afterAutospacing="1"/>
              <w:jc w:val="right"/>
            </w:pPr>
            <w:r>
              <w:rPr>
                <w:color w:val="000000"/>
              </w:rPr>
              <w:t>0</w:t>
            </w:r>
          </w:p>
        </w:tc>
        <w:tc>
          <w:tcPr>
            <w:tcW w:w="1701" w:type="dxa"/>
            <w:vAlign w:val="bottom"/>
          </w:tcPr>
          <w:p w14:paraId="56499235" w14:textId="77777777" w:rsidR="00555B2B" w:rsidRDefault="0058077A">
            <w:pPr>
              <w:spacing w:beforeAutospacing="1" w:afterAutospacing="1"/>
              <w:jc w:val="right"/>
            </w:pPr>
            <w:r>
              <w:rPr>
                <w:color w:val="000000"/>
              </w:rPr>
              <w:t>0</w:t>
            </w:r>
          </w:p>
        </w:tc>
      </w:tr>
    </w:tbl>
    <w:p w14:paraId="097E26AA" w14:textId="77777777" w:rsidR="00555B2B" w:rsidRDefault="00555B2B">
      <w:pPr>
        <w:widowControl w:val="0"/>
        <w:spacing w:after="0" w:line="240" w:lineRule="auto"/>
        <w:rPr>
          <w:b/>
          <w:vanish/>
          <w:sz w:val="24"/>
          <w:szCs w:val="24"/>
        </w:rPr>
      </w:pP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6"/>
        <w:gridCol w:w="782"/>
        <w:gridCol w:w="1454"/>
        <w:gridCol w:w="1361"/>
        <w:gridCol w:w="1398"/>
        <w:gridCol w:w="1397"/>
        <w:gridCol w:w="1432"/>
      </w:tblGrid>
      <w:tr w:rsidR="00555B2B" w14:paraId="2C728375" w14:textId="77777777" w:rsidTr="00194F24">
        <w:trPr>
          <w:cantSplit/>
          <w:trHeight w:val="300"/>
        </w:trPr>
        <w:tc>
          <w:tcPr>
            <w:tcW w:w="1526" w:type="dxa"/>
            <w:vMerge w:val="restart"/>
          </w:tcPr>
          <w:p w14:paraId="479E0DAA" w14:textId="77777777" w:rsidR="00555B2B" w:rsidRDefault="0058077A">
            <w:pPr>
              <w:keepNext/>
              <w:widowControl w:val="0"/>
              <w:spacing w:after="0" w:line="240" w:lineRule="auto"/>
              <w:jc w:val="center"/>
              <w:rPr>
                <w:b/>
              </w:rPr>
            </w:pPr>
            <w:r>
              <w:rPr>
                <w:b/>
              </w:rPr>
              <w:t>Households Displaced</w:t>
            </w:r>
          </w:p>
        </w:tc>
        <w:tc>
          <w:tcPr>
            <w:tcW w:w="782" w:type="dxa"/>
            <w:vMerge w:val="restart"/>
          </w:tcPr>
          <w:p w14:paraId="157F1EA8" w14:textId="77777777" w:rsidR="00555B2B" w:rsidRDefault="0058077A">
            <w:pPr>
              <w:keepNext/>
              <w:widowControl w:val="0"/>
              <w:spacing w:after="0" w:line="240" w:lineRule="auto"/>
              <w:jc w:val="center"/>
              <w:rPr>
                <w:b/>
              </w:rPr>
            </w:pPr>
            <w:r>
              <w:rPr>
                <w:b/>
              </w:rPr>
              <w:t>Total</w:t>
            </w:r>
          </w:p>
        </w:tc>
        <w:tc>
          <w:tcPr>
            <w:tcW w:w="5610" w:type="dxa"/>
            <w:gridSpan w:val="4"/>
          </w:tcPr>
          <w:p w14:paraId="3855A1BF" w14:textId="77777777" w:rsidR="00A50E4F" w:rsidRDefault="00A50E4F"/>
        </w:tc>
        <w:tc>
          <w:tcPr>
            <w:tcW w:w="1432" w:type="dxa"/>
            <w:vMerge w:val="restart"/>
          </w:tcPr>
          <w:p w14:paraId="365315A7" w14:textId="77777777" w:rsidR="00555B2B" w:rsidRDefault="0058077A">
            <w:pPr>
              <w:keepNext/>
              <w:widowControl w:val="0"/>
              <w:spacing w:after="0" w:line="240" w:lineRule="auto"/>
              <w:jc w:val="center"/>
              <w:rPr>
                <w:b/>
              </w:rPr>
            </w:pPr>
            <w:r>
              <w:rPr>
                <w:b/>
              </w:rPr>
              <w:t>White Non-Hispanic</w:t>
            </w:r>
          </w:p>
        </w:tc>
      </w:tr>
      <w:tr w:rsidR="00194F24" w14:paraId="3CF81DDF" w14:textId="77777777" w:rsidTr="00194F24">
        <w:trPr>
          <w:cantSplit/>
          <w:trHeight w:val="300"/>
        </w:trPr>
        <w:tc>
          <w:tcPr>
            <w:tcW w:w="1526" w:type="dxa"/>
            <w:vMerge/>
          </w:tcPr>
          <w:p w14:paraId="4029E689" w14:textId="77777777" w:rsidR="00194F24" w:rsidRDefault="00194F24" w:rsidP="00194F24">
            <w:pPr>
              <w:keepNext/>
              <w:widowControl w:val="0"/>
              <w:spacing w:after="0" w:line="240" w:lineRule="auto"/>
              <w:jc w:val="center"/>
              <w:rPr>
                <w:b/>
              </w:rPr>
            </w:pPr>
          </w:p>
        </w:tc>
        <w:tc>
          <w:tcPr>
            <w:tcW w:w="782" w:type="dxa"/>
            <w:vMerge/>
          </w:tcPr>
          <w:p w14:paraId="227DF71A" w14:textId="77777777" w:rsidR="00194F24" w:rsidRDefault="00194F24" w:rsidP="00194F24">
            <w:pPr>
              <w:keepNext/>
              <w:widowControl w:val="0"/>
              <w:spacing w:after="0" w:line="240" w:lineRule="auto"/>
              <w:jc w:val="center"/>
              <w:rPr>
                <w:b/>
              </w:rPr>
            </w:pPr>
          </w:p>
        </w:tc>
        <w:tc>
          <w:tcPr>
            <w:tcW w:w="1454" w:type="dxa"/>
          </w:tcPr>
          <w:p w14:paraId="557D7869" w14:textId="77777777" w:rsidR="00194F24" w:rsidRDefault="00194F24" w:rsidP="00194F24">
            <w:pPr>
              <w:keepNext/>
              <w:widowControl w:val="0"/>
              <w:jc w:val="center"/>
              <w:rPr>
                <w:b/>
              </w:rPr>
            </w:pPr>
            <w:r>
              <w:rPr>
                <w:b/>
              </w:rPr>
              <w:t>Alaskan Native or American Indian</w:t>
            </w:r>
          </w:p>
        </w:tc>
        <w:tc>
          <w:tcPr>
            <w:tcW w:w="1361" w:type="dxa"/>
          </w:tcPr>
          <w:p w14:paraId="2567462D" w14:textId="416E2F9D" w:rsidR="00194F24" w:rsidRDefault="00194F24" w:rsidP="00194F24">
            <w:r>
              <w:rPr>
                <w:b/>
              </w:rPr>
              <w:t>Asian or Pacific Islander</w:t>
            </w:r>
          </w:p>
        </w:tc>
        <w:tc>
          <w:tcPr>
            <w:tcW w:w="1398" w:type="dxa"/>
          </w:tcPr>
          <w:p w14:paraId="46A79803" w14:textId="3B256C62" w:rsidR="00194F24" w:rsidRDefault="00194F24" w:rsidP="00194F24">
            <w:r>
              <w:rPr>
                <w:b/>
              </w:rPr>
              <w:t>Black Non-Hispanic</w:t>
            </w:r>
          </w:p>
        </w:tc>
        <w:tc>
          <w:tcPr>
            <w:tcW w:w="1397" w:type="dxa"/>
          </w:tcPr>
          <w:p w14:paraId="16EAE70D" w14:textId="25BBB6FB" w:rsidR="00194F24" w:rsidRDefault="00194F24" w:rsidP="00194F24">
            <w:r>
              <w:rPr>
                <w:b/>
              </w:rPr>
              <w:t>Hispanic</w:t>
            </w:r>
          </w:p>
        </w:tc>
        <w:tc>
          <w:tcPr>
            <w:tcW w:w="1432" w:type="dxa"/>
            <w:vMerge/>
          </w:tcPr>
          <w:p w14:paraId="07E37B26" w14:textId="77777777" w:rsidR="00194F24" w:rsidRDefault="00194F24" w:rsidP="00194F24">
            <w:pPr>
              <w:keepNext/>
              <w:widowControl w:val="0"/>
              <w:spacing w:after="0" w:line="240" w:lineRule="auto"/>
              <w:jc w:val="center"/>
              <w:rPr>
                <w:b/>
              </w:rPr>
            </w:pPr>
          </w:p>
        </w:tc>
      </w:tr>
      <w:tr w:rsidR="00194F24" w14:paraId="6733FF9B" w14:textId="77777777" w:rsidTr="00194F24">
        <w:trPr>
          <w:cantSplit/>
        </w:trPr>
        <w:tc>
          <w:tcPr>
            <w:tcW w:w="1526" w:type="dxa"/>
          </w:tcPr>
          <w:p w14:paraId="159ECF47" w14:textId="77777777" w:rsidR="00194F24" w:rsidRDefault="00194F24" w:rsidP="00194F24">
            <w:pPr>
              <w:spacing w:beforeAutospacing="1" w:afterAutospacing="1"/>
            </w:pPr>
            <w:r>
              <w:rPr>
                <w:color w:val="000000"/>
              </w:rPr>
              <w:t>Number</w:t>
            </w:r>
          </w:p>
        </w:tc>
        <w:tc>
          <w:tcPr>
            <w:tcW w:w="782" w:type="dxa"/>
            <w:vAlign w:val="bottom"/>
          </w:tcPr>
          <w:p w14:paraId="0882936A" w14:textId="77777777" w:rsidR="00194F24" w:rsidRDefault="00194F24" w:rsidP="00194F24">
            <w:pPr>
              <w:spacing w:beforeAutospacing="1" w:afterAutospacing="1"/>
              <w:jc w:val="right"/>
            </w:pPr>
            <w:r>
              <w:rPr>
                <w:color w:val="000000"/>
              </w:rPr>
              <w:t>0</w:t>
            </w:r>
          </w:p>
        </w:tc>
        <w:tc>
          <w:tcPr>
            <w:tcW w:w="1454" w:type="dxa"/>
            <w:vAlign w:val="bottom"/>
          </w:tcPr>
          <w:p w14:paraId="145DFAF7" w14:textId="77777777" w:rsidR="00194F24" w:rsidRDefault="00194F24" w:rsidP="00194F24">
            <w:pPr>
              <w:spacing w:beforeAutospacing="1" w:afterAutospacing="1"/>
              <w:jc w:val="right"/>
            </w:pPr>
            <w:r>
              <w:rPr>
                <w:color w:val="000000"/>
              </w:rPr>
              <w:t>0</w:t>
            </w:r>
          </w:p>
        </w:tc>
        <w:tc>
          <w:tcPr>
            <w:tcW w:w="1361" w:type="dxa"/>
            <w:vAlign w:val="bottom"/>
          </w:tcPr>
          <w:p w14:paraId="3533A14E" w14:textId="2D678AAF" w:rsidR="00194F24" w:rsidRDefault="00194F24" w:rsidP="00194F24">
            <w:r>
              <w:t>0</w:t>
            </w:r>
          </w:p>
        </w:tc>
        <w:tc>
          <w:tcPr>
            <w:tcW w:w="1398" w:type="dxa"/>
            <w:vAlign w:val="bottom"/>
          </w:tcPr>
          <w:p w14:paraId="17A4F3CE" w14:textId="78402AB2" w:rsidR="00194F24" w:rsidRDefault="00194F24" w:rsidP="00194F24">
            <w:r>
              <w:t>0</w:t>
            </w:r>
          </w:p>
        </w:tc>
        <w:tc>
          <w:tcPr>
            <w:tcW w:w="1397" w:type="dxa"/>
            <w:vAlign w:val="bottom"/>
          </w:tcPr>
          <w:p w14:paraId="4173F238" w14:textId="50B2E7AC" w:rsidR="00194F24" w:rsidRDefault="00194F24" w:rsidP="00194F24">
            <w:r>
              <w:t>0</w:t>
            </w:r>
          </w:p>
        </w:tc>
        <w:tc>
          <w:tcPr>
            <w:tcW w:w="1432" w:type="dxa"/>
            <w:vAlign w:val="bottom"/>
          </w:tcPr>
          <w:p w14:paraId="1C684537" w14:textId="7FE9298B" w:rsidR="00194F24" w:rsidRDefault="00194F24" w:rsidP="00194F24">
            <w:pPr>
              <w:spacing w:beforeAutospacing="1" w:afterAutospacing="1"/>
              <w:jc w:val="right"/>
            </w:pPr>
            <w:r>
              <w:rPr>
                <w:color w:val="000000"/>
              </w:rPr>
              <w:t>0</w:t>
            </w:r>
          </w:p>
        </w:tc>
      </w:tr>
      <w:tr w:rsidR="00194F24" w14:paraId="2F42D7CD" w14:textId="77777777" w:rsidTr="00194F24">
        <w:trPr>
          <w:cantSplit/>
        </w:trPr>
        <w:tc>
          <w:tcPr>
            <w:tcW w:w="1526" w:type="dxa"/>
          </w:tcPr>
          <w:p w14:paraId="50E1D917" w14:textId="77777777" w:rsidR="00194F24" w:rsidRDefault="00194F24" w:rsidP="00194F24">
            <w:pPr>
              <w:spacing w:beforeAutospacing="1" w:afterAutospacing="1"/>
            </w:pPr>
            <w:r>
              <w:rPr>
                <w:color w:val="000000"/>
              </w:rPr>
              <w:t>Cost</w:t>
            </w:r>
          </w:p>
        </w:tc>
        <w:tc>
          <w:tcPr>
            <w:tcW w:w="782" w:type="dxa"/>
            <w:vAlign w:val="bottom"/>
          </w:tcPr>
          <w:p w14:paraId="035223E5" w14:textId="77777777" w:rsidR="00194F24" w:rsidRDefault="00194F24" w:rsidP="00194F24">
            <w:pPr>
              <w:spacing w:beforeAutospacing="1" w:afterAutospacing="1"/>
              <w:jc w:val="right"/>
            </w:pPr>
            <w:r>
              <w:rPr>
                <w:color w:val="000000"/>
              </w:rPr>
              <w:t>0</w:t>
            </w:r>
          </w:p>
        </w:tc>
        <w:tc>
          <w:tcPr>
            <w:tcW w:w="1454" w:type="dxa"/>
            <w:vAlign w:val="bottom"/>
          </w:tcPr>
          <w:p w14:paraId="0137C82F" w14:textId="77777777" w:rsidR="00194F24" w:rsidRDefault="00194F24" w:rsidP="00194F24">
            <w:pPr>
              <w:spacing w:beforeAutospacing="1" w:afterAutospacing="1"/>
              <w:jc w:val="right"/>
            </w:pPr>
            <w:r>
              <w:rPr>
                <w:color w:val="000000"/>
              </w:rPr>
              <w:t>0</w:t>
            </w:r>
          </w:p>
        </w:tc>
        <w:tc>
          <w:tcPr>
            <w:tcW w:w="1361" w:type="dxa"/>
            <w:vAlign w:val="bottom"/>
          </w:tcPr>
          <w:p w14:paraId="0D9C7230" w14:textId="2EEBAC83" w:rsidR="00194F24" w:rsidRDefault="00194F24" w:rsidP="00194F24">
            <w:r>
              <w:t>0</w:t>
            </w:r>
          </w:p>
        </w:tc>
        <w:tc>
          <w:tcPr>
            <w:tcW w:w="1398" w:type="dxa"/>
            <w:vAlign w:val="bottom"/>
          </w:tcPr>
          <w:p w14:paraId="4E6EBF2F" w14:textId="2245F08A" w:rsidR="00194F24" w:rsidRDefault="00194F24" w:rsidP="00194F24">
            <w:r>
              <w:t>0</w:t>
            </w:r>
          </w:p>
        </w:tc>
        <w:tc>
          <w:tcPr>
            <w:tcW w:w="1397" w:type="dxa"/>
            <w:vAlign w:val="bottom"/>
          </w:tcPr>
          <w:p w14:paraId="7D97B357" w14:textId="70299487" w:rsidR="00194F24" w:rsidRDefault="00194F24" w:rsidP="00194F24">
            <w:r>
              <w:t>0</w:t>
            </w:r>
          </w:p>
        </w:tc>
        <w:tc>
          <w:tcPr>
            <w:tcW w:w="1432" w:type="dxa"/>
            <w:vAlign w:val="bottom"/>
          </w:tcPr>
          <w:p w14:paraId="66F7108D" w14:textId="13162E2C" w:rsidR="00194F24" w:rsidRDefault="00194F24" w:rsidP="00194F24">
            <w:pPr>
              <w:spacing w:beforeAutospacing="1" w:afterAutospacing="1"/>
              <w:jc w:val="right"/>
            </w:pPr>
            <w:r>
              <w:rPr>
                <w:color w:val="000000"/>
              </w:rPr>
              <w:t>0</w:t>
            </w:r>
          </w:p>
        </w:tc>
      </w:tr>
    </w:tbl>
    <w:p w14:paraId="325DA080"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10</w:t>
      </w:r>
      <w:r w:rsidRPr="0AF71021">
        <w:rPr>
          <w:rFonts w:asciiTheme="minorHAnsi" w:hAnsiTheme="minorHAnsi"/>
        </w:rPr>
        <w:fldChar w:fldCharType="end"/>
      </w:r>
      <w:r w:rsidRPr="0AF71021">
        <w:rPr>
          <w:rFonts w:asciiTheme="minorHAnsi" w:hAnsiTheme="minorHAnsi"/>
        </w:rPr>
        <w:t xml:space="preserve"> – Relocation and Real Property Acquisition</w:t>
      </w:r>
    </w:p>
    <w:p w14:paraId="4CE31DD9" w14:textId="77777777" w:rsidR="00555B2B" w:rsidRDefault="00555B2B">
      <w:pPr>
        <w:spacing w:after="0" w:line="240" w:lineRule="auto"/>
        <w:rPr>
          <w:b/>
        </w:rPr>
      </w:pPr>
    </w:p>
    <w:p w14:paraId="3FFCF562" w14:textId="77777777" w:rsidR="00555B2B" w:rsidRDefault="00555B2B">
      <w:pPr>
        <w:spacing w:after="0" w:line="240" w:lineRule="auto"/>
        <w:rPr>
          <w:b/>
        </w:rPr>
      </w:pPr>
    </w:p>
    <w:p w14:paraId="665E8B7D" w14:textId="77777777" w:rsidR="00555B2B" w:rsidRDefault="00555B2B">
      <w:pPr>
        <w:widowControl w:val="0"/>
        <w:spacing w:after="0" w:line="240" w:lineRule="auto"/>
        <w:rPr>
          <w:sz w:val="24"/>
          <w:szCs w:val="24"/>
        </w:rPr>
      </w:pPr>
    </w:p>
    <w:p w14:paraId="541A20E9" w14:textId="77777777" w:rsidR="00555B2B" w:rsidRDefault="00555B2B">
      <w:pPr>
        <w:spacing w:after="0" w:line="240" w:lineRule="auto"/>
      </w:pPr>
      <w:bookmarkStart w:id="1" w:name="_Toc309810475"/>
    </w:p>
    <w:p w14:paraId="096D7712" w14:textId="77777777" w:rsidR="00555B2B" w:rsidRDefault="00555B2B">
      <w:pPr>
        <w:sectPr w:rsidR="00555B2B">
          <w:pgSz w:w="12240" w:h="15840" w:code="1"/>
          <w:pgMar w:top="1440" w:right="1440" w:bottom="1440" w:left="1440" w:header="720" w:footer="720" w:gutter="0"/>
          <w:cols w:space="720"/>
          <w:docGrid w:linePitch="360"/>
        </w:sectPr>
      </w:pPr>
    </w:p>
    <w:p w14:paraId="477D9AA5" w14:textId="77777777" w:rsidR="00555B2B" w:rsidRDefault="0058077A">
      <w:pPr>
        <w:pStyle w:val="Heading2"/>
        <w:rPr>
          <w:rFonts w:ascii="Calibri" w:hAnsi="Calibri"/>
          <w:i w:val="0"/>
        </w:rPr>
      </w:pPr>
      <w:r>
        <w:rPr>
          <w:rFonts w:ascii="Calibri" w:hAnsi="Calibri"/>
          <w:i w:val="0"/>
        </w:rPr>
        <w:t>CR-20 - Affordable Housing 91.520(b)</w:t>
      </w:r>
    </w:p>
    <w:p w14:paraId="38A2931E" w14:textId="77777777" w:rsidR="00555B2B" w:rsidRDefault="0058077A">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4FF2C44F" w14:textId="77777777" w:rsidR="00555B2B" w:rsidRDefault="00555B2B">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555B2B" w14:paraId="331B3482" w14:textId="77777777" w:rsidTr="189EB430">
        <w:trPr>
          <w:cantSplit/>
          <w:tblHeader/>
        </w:trPr>
        <w:tc>
          <w:tcPr>
            <w:tcW w:w="4293" w:type="dxa"/>
          </w:tcPr>
          <w:p w14:paraId="2F61DF72" w14:textId="77777777" w:rsidR="00555B2B" w:rsidRDefault="00555B2B">
            <w:pPr>
              <w:pStyle w:val="Caption"/>
              <w:keepNext/>
              <w:widowControl w:val="0"/>
              <w:jc w:val="center"/>
              <w:rPr>
                <w:rFonts w:ascii="Calibri" w:hAnsi="Calibri"/>
                <w:sz w:val="22"/>
                <w:szCs w:val="22"/>
              </w:rPr>
            </w:pPr>
          </w:p>
        </w:tc>
        <w:tc>
          <w:tcPr>
            <w:tcW w:w="2648" w:type="dxa"/>
          </w:tcPr>
          <w:p w14:paraId="58C5DC99" w14:textId="77777777" w:rsidR="00555B2B" w:rsidRDefault="0058077A">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39ACBEA9" w14:textId="77777777" w:rsidR="00555B2B" w:rsidRDefault="0058077A">
            <w:pPr>
              <w:pStyle w:val="Caption"/>
              <w:keepNext/>
              <w:widowControl w:val="0"/>
              <w:jc w:val="center"/>
              <w:rPr>
                <w:rFonts w:ascii="Calibri" w:hAnsi="Calibri"/>
                <w:sz w:val="22"/>
                <w:szCs w:val="22"/>
              </w:rPr>
            </w:pPr>
            <w:r>
              <w:rPr>
                <w:rFonts w:ascii="Calibri" w:hAnsi="Calibri"/>
                <w:sz w:val="22"/>
                <w:szCs w:val="22"/>
              </w:rPr>
              <w:t>Actual</w:t>
            </w:r>
          </w:p>
        </w:tc>
      </w:tr>
      <w:tr w:rsidR="00555B2B" w14:paraId="615493F4" w14:textId="77777777" w:rsidTr="189EB430">
        <w:trPr>
          <w:cantSplit/>
        </w:trPr>
        <w:tc>
          <w:tcPr>
            <w:tcW w:w="4293" w:type="dxa"/>
            <w:vAlign w:val="bottom"/>
          </w:tcPr>
          <w:p w14:paraId="35BA3445" w14:textId="77777777" w:rsidR="00555B2B" w:rsidRDefault="0058077A">
            <w:pPr>
              <w:spacing w:beforeAutospacing="1" w:afterAutospacing="1"/>
            </w:pPr>
            <w:r>
              <w:rPr>
                <w:color w:val="000000"/>
              </w:rPr>
              <w:t>Number of Homeless households to be provided affordable housing units</w:t>
            </w:r>
          </w:p>
        </w:tc>
        <w:tc>
          <w:tcPr>
            <w:tcW w:w="2648" w:type="dxa"/>
            <w:vAlign w:val="bottom"/>
          </w:tcPr>
          <w:p w14:paraId="43741B20" w14:textId="77777777" w:rsidR="00555B2B" w:rsidRDefault="0058077A">
            <w:pPr>
              <w:spacing w:beforeAutospacing="1" w:afterAutospacing="1"/>
              <w:jc w:val="right"/>
            </w:pPr>
            <w:r>
              <w:rPr>
                <w:color w:val="000000"/>
              </w:rPr>
              <w:t>0</w:t>
            </w:r>
          </w:p>
        </w:tc>
        <w:tc>
          <w:tcPr>
            <w:tcW w:w="2649" w:type="dxa"/>
            <w:vAlign w:val="bottom"/>
          </w:tcPr>
          <w:p w14:paraId="58416F38" w14:textId="77777777" w:rsidR="00555B2B" w:rsidRDefault="0058077A">
            <w:pPr>
              <w:spacing w:beforeAutospacing="1" w:afterAutospacing="1"/>
              <w:jc w:val="right"/>
            </w:pPr>
            <w:r>
              <w:rPr>
                <w:color w:val="000000"/>
              </w:rPr>
              <w:t>0</w:t>
            </w:r>
          </w:p>
        </w:tc>
      </w:tr>
      <w:tr w:rsidR="00555B2B" w14:paraId="3767DFB9" w14:textId="77777777" w:rsidTr="189EB430">
        <w:trPr>
          <w:cantSplit/>
        </w:trPr>
        <w:tc>
          <w:tcPr>
            <w:tcW w:w="4293" w:type="dxa"/>
            <w:vAlign w:val="bottom"/>
          </w:tcPr>
          <w:p w14:paraId="04BCE4F7" w14:textId="77777777" w:rsidR="00555B2B" w:rsidRDefault="0058077A">
            <w:pPr>
              <w:spacing w:beforeAutospacing="1" w:afterAutospacing="1"/>
            </w:pPr>
            <w:r>
              <w:rPr>
                <w:color w:val="000000"/>
              </w:rPr>
              <w:t>Number of Non-Homeless households to be provided affordable housing units</w:t>
            </w:r>
          </w:p>
        </w:tc>
        <w:tc>
          <w:tcPr>
            <w:tcW w:w="2648" w:type="dxa"/>
            <w:vAlign w:val="bottom"/>
          </w:tcPr>
          <w:p w14:paraId="5DA88BBB" w14:textId="77777777" w:rsidR="00555B2B" w:rsidRDefault="0058077A">
            <w:pPr>
              <w:spacing w:beforeAutospacing="1" w:afterAutospacing="1"/>
              <w:jc w:val="right"/>
            </w:pPr>
            <w:r>
              <w:rPr>
                <w:color w:val="000000"/>
              </w:rPr>
              <w:t>47</w:t>
            </w:r>
          </w:p>
        </w:tc>
        <w:tc>
          <w:tcPr>
            <w:tcW w:w="2649" w:type="dxa"/>
            <w:vAlign w:val="bottom"/>
          </w:tcPr>
          <w:p w14:paraId="26056106" w14:textId="5F42E6A7" w:rsidR="00555B2B" w:rsidRDefault="14AE4924">
            <w:pPr>
              <w:spacing w:beforeAutospacing="1" w:afterAutospacing="1"/>
              <w:jc w:val="right"/>
              <w:rPr>
                <w:rFonts w:cs="Calibri"/>
              </w:rPr>
            </w:pPr>
            <w:r w:rsidRPr="189EB430">
              <w:rPr>
                <w:color w:val="000000" w:themeColor="text1"/>
              </w:rPr>
              <w:t>57</w:t>
            </w:r>
          </w:p>
        </w:tc>
      </w:tr>
      <w:tr w:rsidR="00555B2B" w14:paraId="2E7DF181" w14:textId="77777777" w:rsidTr="189EB430">
        <w:trPr>
          <w:cantSplit/>
        </w:trPr>
        <w:tc>
          <w:tcPr>
            <w:tcW w:w="4293" w:type="dxa"/>
            <w:vAlign w:val="bottom"/>
          </w:tcPr>
          <w:p w14:paraId="26FE8D0E" w14:textId="77777777" w:rsidR="00555B2B" w:rsidRDefault="0058077A">
            <w:pPr>
              <w:spacing w:beforeAutospacing="1" w:afterAutospacing="1"/>
            </w:pPr>
            <w:r>
              <w:rPr>
                <w:color w:val="000000"/>
              </w:rPr>
              <w:t>Number of Special-Needs households to be provided affordable housing units</w:t>
            </w:r>
          </w:p>
        </w:tc>
        <w:tc>
          <w:tcPr>
            <w:tcW w:w="2648" w:type="dxa"/>
            <w:vAlign w:val="bottom"/>
          </w:tcPr>
          <w:p w14:paraId="0E762B8E" w14:textId="77777777" w:rsidR="00555B2B" w:rsidRDefault="0058077A">
            <w:pPr>
              <w:spacing w:beforeAutospacing="1" w:afterAutospacing="1"/>
              <w:jc w:val="right"/>
            </w:pPr>
            <w:r>
              <w:rPr>
                <w:color w:val="000000"/>
              </w:rPr>
              <w:t>0</w:t>
            </w:r>
          </w:p>
        </w:tc>
        <w:tc>
          <w:tcPr>
            <w:tcW w:w="2649" w:type="dxa"/>
            <w:vAlign w:val="bottom"/>
          </w:tcPr>
          <w:p w14:paraId="6671956A" w14:textId="77777777" w:rsidR="00555B2B" w:rsidRDefault="0058077A">
            <w:pPr>
              <w:spacing w:beforeAutospacing="1" w:afterAutospacing="1"/>
              <w:jc w:val="right"/>
            </w:pPr>
            <w:r>
              <w:rPr>
                <w:color w:val="000000"/>
              </w:rPr>
              <w:t>0</w:t>
            </w:r>
          </w:p>
        </w:tc>
      </w:tr>
      <w:tr w:rsidR="00555B2B" w14:paraId="5FC7219E" w14:textId="77777777" w:rsidTr="189EB430">
        <w:trPr>
          <w:cantSplit/>
        </w:trPr>
        <w:tc>
          <w:tcPr>
            <w:tcW w:w="4293" w:type="dxa"/>
          </w:tcPr>
          <w:p w14:paraId="30A6AE37" w14:textId="77777777" w:rsidR="00555B2B" w:rsidRDefault="0058077A">
            <w:pPr>
              <w:spacing w:beforeAutospacing="1" w:afterAutospacing="1"/>
            </w:pPr>
            <w:r>
              <w:rPr>
                <w:b/>
                <w:color w:val="000000"/>
              </w:rPr>
              <w:t>Total</w:t>
            </w:r>
          </w:p>
        </w:tc>
        <w:tc>
          <w:tcPr>
            <w:tcW w:w="2648" w:type="dxa"/>
            <w:vAlign w:val="bottom"/>
          </w:tcPr>
          <w:p w14:paraId="05765158" w14:textId="77777777" w:rsidR="00555B2B" w:rsidRDefault="0058077A">
            <w:pPr>
              <w:spacing w:beforeAutospacing="1" w:afterAutospacing="1"/>
              <w:jc w:val="right"/>
            </w:pPr>
            <w:r>
              <w:rPr>
                <w:b/>
                <w:color w:val="000000"/>
              </w:rPr>
              <w:t>47</w:t>
            </w:r>
          </w:p>
        </w:tc>
        <w:tc>
          <w:tcPr>
            <w:tcW w:w="2649" w:type="dxa"/>
            <w:vAlign w:val="bottom"/>
          </w:tcPr>
          <w:p w14:paraId="271B5CE2" w14:textId="24977B52" w:rsidR="00555B2B" w:rsidRDefault="3483F181">
            <w:pPr>
              <w:spacing w:beforeAutospacing="1" w:afterAutospacing="1"/>
              <w:jc w:val="right"/>
              <w:rPr>
                <w:b/>
                <w:bCs/>
                <w:color w:val="000000" w:themeColor="text1"/>
              </w:rPr>
            </w:pPr>
            <w:r w:rsidRPr="189EB430">
              <w:rPr>
                <w:b/>
                <w:bCs/>
                <w:color w:val="000000" w:themeColor="text1"/>
              </w:rPr>
              <w:t>57</w:t>
            </w:r>
          </w:p>
        </w:tc>
      </w:tr>
    </w:tbl>
    <w:p w14:paraId="75618A3B"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11</w:t>
      </w:r>
      <w:r w:rsidRPr="0AF71021">
        <w:rPr>
          <w:rFonts w:asciiTheme="minorHAnsi" w:hAnsiTheme="minorHAnsi"/>
        </w:rPr>
        <w:fldChar w:fldCharType="end"/>
      </w:r>
      <w:r w:rsidRPr="0AF71021">
        <w:rPr>
          <w:rFonts w:asciiTheme="minorHAnsi" w:hAnsiTheme="minorHAnsi"/>
        </w:rPr>
        <w:t xml:space="preserve"> – Number of Households</w:t>
      </w:r>
    </w:p>
    <w:p w14:paraId="3A00DF7D" w14:textId="77777777" w:rsidR="00555B2B" w:rsidRDefault="00555B2B"/>
    <w:p w14:paraId="4E8A812C" w14:textId="77777777" w:rsidR="00555B2B" w:rsidRDefault="00555B2B"/>
    <w:p w14:paraId="328A48C1" w14:textId="77777777" w:rsidR="00555B2B" w:rsidRDefault="00555B2B">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555B2B" w14:paraId="7BF16911" w14:textId="77777777" w:rsidTr="189EB430">
        <w:trPr>
          <w:cantSplit/>
          <w:tblHeader/>
        </w:trPr>
        <w:tc>
          <w:tcPr>
            <w:tcW w:w="4293" w:type="dxa"/>
          </w:tcPr>
          <w:p w14:paraId="7E15F0CC" w14:textId="77777777" w:rsidR="00555B2B" w:rsidRDefault="00555B2B">
            <w:pPr>
              <w:pStyle w:val="Caption"/>
              <w:keepNext/>
              <w:widowControl w:val="0"/>
              <w:jc w:val="center"/>
              <w:rPr>
                <w:rFonts w:ascii="Calibri" w:hAnsi="Calibri"/>
                <w:sz w:val="22"/>
                <w:szCs w:val="22"/>
              </w:rPr>
            </w:pPr>
          </w:p>
        </w:tc>
        <w:tc>
          <w:tcPr>
            <w:tcW w:w="2648" w:type="dxa"/>
          </w:tcPr>
          <w:p w14:paraId="2AC3B666" w14:textId="77777777" w:rsidR="00555B2B" w:rsidRDefault="0058077A">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31393D4C" w14:textId="77777777" w:rsidR="00555B2B" w:rsidRDefault="0058077A">
            <w:pPr>
              <w:pStyle w:val="Caption"/>
              <w:keepNext/>
              <w:widowControl w:val="0"/>
              <w:jc w:val="center"/>
              <w:rPr>
                <w:rFonts w:ascii="Calibri" w:hAnsi="Calibri"/>
                <w:sz w:val="22"/>
                <w:szCs w:val="22"/>
              </w:rPr>
            </w:pPr>
            <w:r>
              <w:rPr>
                <w:rFonts w:ascii="Calibri" w:hAnsi="Calibri"/>
                <w:sz w:val="22"/>
                <w:szCs w:val="22"/>
              </w:rPr>
              <w:t>Actual</w:t>
            </w:r>
          </w:p>
        </w:tc>
      </w:tr>
      <w:tr w:rsidR="00555B2B" w14:paraId="16C7F343" w14:textId="77777777" w:rsidTr="189EB430">
        <w:trPr>
          <w:cantSplit/>
        </w:trPr>
        <w:tc>
          <w:tcPr>
            <w:tcW w:w="4293" w:type="dxa"/>
            <w:vAlign w:val="bottom"/>
          </w:tcPr>
          <w:p w14:paraId="7758B6EB" w14:textId="77777777" w:rsidR="00555B2B" w:rsidRDefault="0058077A">
            <w:pPr>
              <w:spacing w:beforeAutospacing="1" w:afterAutospacing="1"/>
            </w:pPr>
            <w:r>
              <w:rPr>
                <w:color w:val="000000"/>
              </w:rPr>
              <w:t>Number of households supported through Rental Assistance</w:t>
            </w:r>
          </w:p>
        </w:tc>
        <w:tc>
          <w:tcPr>
            <w:tcW w:w="2648" w:type="dxa"/>
            <w:vAlign w:val="bottom"/>
          </w:tcPr>
          <w:p w14:paraId="216E5E6B" w14:textId="77777777" w:rsidR="00555B2B" w:rsidRDefault="0058077A">
            <w:pPr>
              <w:spacing w:beforeAutospacing="1" w:afterAutospacing="1"/>
              <w:jc w:val="right"/>
            </w:pPr>
            <w:r>
              <w:rPr>
                <w:color w:val="000000"/>
              </w:rPr>
              <w:t>7</w:t>
            </w:r>
          </w:p>
        </w:tc>
        <w:tc>
          <w:tcPr>
            <w:tcW w:w="2649" w:type="dxa"/>
            <w:vAlign w:val="bottom"/>
          </w:tcPr>
          <w:p w14:paraId="2228EAE4" w14:textId="6262CCC8" w:rsidR="00555B2B" w:rsidRDefault="01EDE12E" w:rsidP="6C2206A5">
            <w:pPr>
              <w:spacing w:beforeAutospacing="1" w:afterAutospacing="1"/>
              <w:jc w:val="right"/>
              <w:rPr>
                <w:color w:val="000000" w:themeColor="text1"/>
              </w:rPr>
            </w:pPr>
            <w:r w:rsidRPr="189EB430">
              <w:rPr>
                <w:color w:val="000000" w:themeColor="text1"/>
              </w:rPr>
              <w:t>3</w:t>
            </w:r>
            <w:r w:rsidR="2AAE4185" w:rsidRPr="189EB430">
              <w:rPr>
                <w:color w:val="000000" w:themeColor="text1"/>
              </w:rPr>
              <w:t>8</w:t>
            </w:r>
          </w:p>
        </w:tc>
      </w:tr>
      <w:tr w:rsidR="00555B2B" w14:paraId="3276A8BC" w14:textId="77777777" w:rsidTr="189EB430">
        <w:trPr>
          <w:cantSplit/>
        </w:trPr>
        <w:tc>
          <w:tcPr>
            <w:tcW w:w="4293" w:type="dxa"/>
            <w:vAlign w:val="bottom"/>
          </w:tcPr>
          <w:p w14:paraId="0FCC214B" w14:textId="77777777" w:rsidR="00555B2B" w:rsidRDefault="0058077A">
            <w:pPr>
              <w:spacing w:beforeAutospacing="1" w:afterAutospacing="1"/>
            </w:pPr>
            <w:r>
              <w:rPr>
                <w:color w:val="000000"/>
              </w:rPr>
              <w:t>Number of households supported through The Production of New Units</w:t>
            </w:r>
          </w:p>
        </w:tc>
        <w:tc>
          <w:tcPr>
            <w:tcW w:w="2648" w:type="dxa"/>
            <w:vAlign w:val="bottom"/>
          </w:tcPr>
          <w:p w14:paraId="2525E675" w14:textId="77777777" w:rsidR="00555B2B" w:rsidRDefault="0058077A">
            <w:pPr>
              <w:spacing w:beforeAutospacing="1" w:afterAutospacing="1"/>
              <w:jc w:val="right"/>
            </w:pPr>
            <w:r>
              <w:rPr>
                <w:color w:val="000000"/>
              </w:rPr>
              <w:t>2</w:t>
            </w:r>
          </w:p>
        </w:tc>
        <w:tc>
          <w:tcPr>
            <w:tcW w:w="2649" w:type="dxa"/>
            <w:vAlign w:val="bottom"/>
          </w:tcPr>
          <w:p w14:paraId="3A06D06D" w14:textId="03570640" w:rsidR="00555B2B" w:rsidRDefault="3DFB0AAD" w:rsidP="3D87D998">
            <w:pPr>
              <w:spacing w:beforeAutospacing="1" w:afterAutospacing="1"/>
              <w:jc w:val="right"/>
              <w:rPr>
                <w:color w:val="000000" w:themeColor="text1"/>
              </w:rPr>
            </w:pPr>
            <w:r w:rsidRPr="3D87D998">
              <w:rPr>
                <w:color w:val="000000" w:themeColor="text1"/>
              </w:rPr>
              <w:t>1</w:t>
            </w:r>
          </w:p>
        </w:tc>
      </w:tr>
      <w:tr w:rsidR="00555B2B" w14:paraId="67EDC054" w14:textId="77777777" w:rsidTr="189EB430">
        <w:trPr>
          <w:cantSplit/>
        </w:trPr>
        <w:tc>
          <w:tcPr>
            <w:tcW w:w="4293" w:type="dxa"/>
            <w:vAlign w:val="bottom"/>
          </w:tcPr>
          <w:p w14:paraId="0D34048C" w14:textId="77777777" w:rsidR="00555B2B" w:rsidRDefault="0058077A">
            <w:pPr>
              <w:spacing w:beforeAutospacing="1" w:afterAutospacing="1"/>
            </w:pPr>
            <w:r>
              <w:rPr>
                <w:color w:val="000000"/>
              </w:rPr>
              <w:t>Number of households supported through Rehab of Existing Units</w:t>
            </w:r>
          </w:p>
        </w:tc>
        <w:tc>
          <w:tcPr>
            <w:tcW w:w="2648" w:type="dxa"/>
            <w:vAlign w:val="bottom"/>
          </w:tcPr>
          <w:p w14:paraId="1F9F36F1" w14:textId="77777777" w:rsidR="00555B2B" w:rsidRDefault="0058077A">
            <w:pPr>
              <w:spacing w:beforeAutospacing="1" w:afterAutospacing="1"/>
              <w:jc w:val="right"/>
            </w:pPr>
            <w:r>
              <w:rPr>
                <w:color w:val="000000"/>
              </w:rPr>
              <w:t>29</w:t>
            </w:r>
          </w:p>
        </w:tc>
        <w:tc>
          <w:tcPr>
            <w:tcW w:w="2649" w:type="dxa"/>
            <w:vAlign w:val="bottom"/>
          </w:tcPr>
          <w:p w14:paraId="3A0B8B5A" w14:textId="6D5F6C5B" w:rsidR="00555B2B" w:rsidRDefault="5C6FFA56" w:rsidP="189EB430">
            <w:pPr>
              <w:spacing w:beforeAutospacing="1" w:afterAutospacing="1"/>
              <w:jc w:val="right"/>
              <w:rPr>
                <w:color w:val="000000" w:themeColor="text1"/>
              </w:rPr>
            </w:pPr>
            <w:r w:rsidRPr="189EB430">
              <w:rPr>
                <w:color w:val="000000" w:themeColor="text1"/>
              </w:rPr>
              <w:t>16</w:t>
            </w:r>
          </w:p>
        </w:tc>
      </w:tr>
      <w:tr w:rsidR="00555B2B" w14:paraId="243BAD1F" w14:textId="77777777" w:rsidTr="189EB430">
        <w:trPr>
          <w:cantSplit/>
        </w:trPr>
        <w:tc>
          <w:tcPr>
            <w:tcW w:w="4293" w:type="dxa"/>
            <w:vAlign w:val="bottom"/>
          </w:tcPr>
          <w:p w14:paraId="26F83F0B" w14:textId="77777777" w:rsidR="00555B2B" w:rsidRDefault="0058077A">
            <w:pPr>
              <w:spacing w:beforeAutospacing="1" w:afterAutospacing="1"/>
            </w:pPr>
            <w:r>
              <w:rPr>
                <w:color w:val="000000"/>
              </w:rPr>
              <w:t>Number of households supported through Acquisition of Existing Units</w:t>
            </w:r>
          </w:p>
        </w:tc>
        <w:tc>
          <w:tcPr>
            <w:tcW w:w="2648" w:type="dxa"/>
            <w:vAlign w:val="bottom"/>
          </w:tcPr>
          <w:p w14:paraId="1C974B63" w14:textId="77777777" w:rsidR="00555B2B" w:rsidRDefault="0058077A">
            <w:pPr>
              <w:spacing w:beforeAutospacing="1" w:afterAutospacing="1"/>
              <w:jc w:val="right"/>
            </w:pPr>
            <w:r>
              <w:rPr>
                <w:color w:val="000000"/>
              </w:rPr>
              <w:t>9</w:t>
            </w:r>
          </w:p>
        </w:tc>
        <w:tc>
          <w:tcPr>
            <w:tcW w:w="2649" w:type="dxa"/>
            <w:vAlign w:val="bottom"/>
          </w:tcPr>
          <w:p w14:paraId="7333C5E4" w14:textId="00CCCD5B" w:rsidR="00555B2B" w:rsidRDefault="202CC492" w:rsidP="0AF71021">
            <w:pPr>
              <w:spacing w:beforeAutospacing="1" w:afterAutospacing="1"/>
              <w:jc w:val="right"/>
            </w:pPr>
            <w:r w:rsidRPr="0AF71021">
              <w:rPr>
                <w:color w:val="000000" w:themeColor="text1"/>
              </w:rPr>
              <w:t>2</w:t>
            </w:r>
          </w:p>
        </w:tc>
      </w:tr>
      <w:tr w:rsidR="00555B2B" w14:paraId="5BB89ECC" w14:textId="77777777" w:rsidTr="189EB430">
        <w:trPr>
          <w:cantSplit/>
        </w:trPr>
        <w:tc>
          <w:tcPr>
            <w:tcW w:w="4293" w:type="dxa"/>
          </w:tcPr>
          <w:p w14:paraId="206D4A51" w14:textId="77777777" w:rsidR="00555B2B" w:rsidRDefault="0058077A">
            <w:pPr>
              <w:spacing w:beforeAutospacing="1" w:afterAutospacing="1"/>
            </w:pPr>
            <w:r>
              <w:rPr>
                <w:b/>
                <w:color w:val="000000"/>
              </w:rPr>
              <w:t>Total</w:t>
            </w:r>
          </w:p>
        </w:tc>
        <w:tc>
          <w:tcPr>
            <w:tcW w:w="2648" w:type="dxa"/>
            <w:vAlign w:val="bottom"/>
          </w:tcPr>
          <w:p w14:paraId="1BC8C6EA" w14:textId="77777777" w:rsidR="00555B2B" w:rsidRDefault="0058077A">
            <w:pPr>
              <w:spacing w:beforeAutospacing="1" w:afterAutospacing="1"/>
              <w:jc w:val="right"/>
            </w:pPr>
            <w:r>
              <w:rPr>
                <w:b/>
                <w:color w:val="000000"/>
              </w:rPr>
              <w:t>47</w:t>
            </w:r>
          </w:p>
        </w:tc>
        <w:tc>
          <w:tcPr>
            <w:tcW w:w="2649" w:type="dxa"/>
            <w:vAlign w:val="bottom"/>
          </w:tcPr>
          <w:p w14:paraId="0083CF69" w14:textId="4BEEDDEC" w:rsidR="00555B2B" w:rsidRDefault="26737F57" w:rsidP="3D87D998">
            <w:pPr>
              <w:spacing w:beforeAutospacing="1" w:afterAutospacing="1"/>
              <w:jc w:val="right"/>
              <w:rPr>
                <w:b/>
                <w:bCs/>
                <w:color w:val="000000" w:themeColor="text1"/>
              </w:rPr>
            </w:pPr>
            <w:r w:rsidRPr="189EB430">
              <w:rPr>
                <w:b/>
                <w:bCs/>
                <w:color w:val="000000" w:themeColor="text1"/>
              </w:rPr>
              <w:t>57</w:t>
            </w:r>
          </w:p>
        </w:tc>
      </w:tr>
    </w:tbl>
    <w:p w14:paraId="54B0E608"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12</w:t>
      </w:r>
      <w:r w:rsidRPr="0AF71021">
        <w:rPr>
          <w:rFonts w:asciiTheme="minorHAnsi" w:hAnsiTheme="minorHAnsi"/>
        </w:rPr>
        <w:fldChar w:fldCharType="end"/>
      </w:r>
      <w:r w:rsidRPr="0AF71021">
        <w:rPr>
          <w:rFonts w:asciiTheme="minorHAnsi" w:hAnsiTheme="minorHAnsi"/>
        </w:rPr>
        <w:t xml:space="preserve"> – Number of Households Supported</w:t>
      </w:r>
    </w:p>
    <w:p w14:paraId="217591C2" w14:textId="77777777" w:rsidR="00555B2B" w:rsidRDefault="00555B2B">
      <w:pPr>
        <w:rPr>
          <w:rFonts w:cs="Arial"/>
        </w:rPr>
      </w:pPr>
    </w:p>
    <w:p w14:paraId="36657294" w14:textId="77777777" w:rsidR="00555B2B" w:rsidRDefault="00555B2B">
      <w:pPr>
        <w:rPr>
          <w:rFonts w:cs="Arial"/>
        </w:rPr>
      </w:pPr>
    </w:p>
    <w:p w14:paraId="6CE96CF5" w14:textId="77777777" w:rsidR="00555B2B" w:rsidRDefault="0058077A">
      <w:pPr>
        <w:widowControl w:val="0"/>
        <w:spacing w:line="204" w:lineRule="auto"/>
        <w:rPr>
          <w:b/>
          <w:sz w:val="24"/>
          <w:szCs w:val="24"/>
        </w:rPr>
      </w:pPr>
      <w:r>
        <w:rPr>
          <w:b/>
          <w:sz w:val="24"/>
          <w:szCs w:val="24"/>
        </w:rPr>
        <w:t>Discuss the difference between goals and outcomes and problems encountered in meeting these goals.</w:t>
      </w:r>
    </w:p>
    <w:p w14:paraId="5205E0FF" w14:textId="77777777" w:rsidR="00555B2B" w:rsidRDefault="0058077A">
      <w:pPr>
        <w:spacing w:beforeAutospacing="1" w:afterAutospacing="1"/>
        <w:rPr>
          <w:rFonts w:cs="Arial"/>
        </w:rPr>
      </w:pPr>
      <w:r>
        <w:rPr>
          <w:rFonts w:cs="Arial"/>
        </w:rPr>
        <w:t>The City continued its rehabilitation/reconstruction loan program to maintain and prolong the life of the City's affordable housing stock. The substantial rehabilitation program assists in halting the deterioration of units being occupied by low-income residents. </w:t>
      </w:r>
    </w:p>
    <w:p w14:paraId="4695895A" w14:textId="25C4739D" w:rsidR="00555B2B" w:rsidRDefault="0058077A">
      <w:pPr>
        <w:spacing w:beforeAutospacing="1" w:afterAutospacing="1"/>
        <w:rPr>
          <w:rFonts w:cs="Arial"/>
        </w:rPr>
      </w:pPr>
      <w:r>
        <w:rPr>
          <w:rFonts w:cs="Arial"/>
        </w:rPr>
        <w:t>The City’s CHDOs (NeighborWorks Waco, Inc., Waco Community Development Corporation, and Waco Habitat for Humanity) continued to build new single-family homes for low-income homebuyers and provided homebuyer education to prospective homebuyers.</w:t>
      </w:r>
    </w:p>
    <w:p w14:paraId="71C31F0E" w14:textId="77777777" w:rsidR="00555B2B" w:rsidRDefault="0058077A">
      <w:pPr>
        <w:spacing w:beforeAutospacing="1" w:afterAutospacing="1"/>
        <w:rPr>
          <w:rFonts w:cs="Arial"/>
        </w:rPr>
      </w:pPr>
      <w:r>
        <w:rPr>
          <w:rFonts w:cs="Arial"/>
        </w:rPr>
        <w:t>The City continues to encourage participation in housing development and accessibility through HOME program initiatives.</w:t>
      </w:r>
    </w:p>
    <w:p w14:paraId="658B425C" w14:textId="75A94B3E" w:rsidR="00555B2B" w:rsidRDefault="0058077A">
      <w:pPr>
        <w:spacing w:beforeAutospacing="1" w:afterAutospacing="1"/>
        <w:rPr>
          <w:rFonts w:cs="Arial"/>
        </w:rPr>
      </w:pPr>
      <w:r>
        <w:rPr>
          <w:rFonts w:cs="Arial"/>
        </w:rPr>
        <w:t xml:space="preserve">The City’s Homebuyer assistance program has provided much-needed assistance, with deferred loans for the down payment and closing </w:t>
      </w:r>
      <w:r w:rsidR="00066316">
        <w:rPr>
          <w:rFonts w:cs="Arial"/>
        </w:rPr>
        <w:t xml:space="preserve">costs, to </w:t>
      </w:r>
      <w:r>
        <w:rPr>
          <w:rFonts w:cs="Arial"/>
        </w:rPr>
        <w:t>eligible homebuyers.</w:t>
      </w:r>
    </w:p>
    <w:p w14:paraId="2A7DC161" w14:textId="59A1D6AF" w:rsidR="00555B2B" w:rsidRDefault="0058077A">
      <w:pPr>
        <w:spacing w:beforeAutospacing="1" w:afterAutospacing="1"/>
        <w:rPr>
          <w:rFonts w:cs="Arial"/>
        </w:rPr>
      </w:pPr>
      <w:r>
        <w:rPr>
          <w:rFonts w:cs="Arial"/>
        </w:rPr>
        <w:t xml:space="preserve">All homebuyers complete basic homebuyer education and/or financial literacy programs prior to receiving assistance. Encouraging participation and partnerships in the City’s housing programs have increased interest in the development of affordable housing. Efforts such as credit counseling, homebuyer counseling, financial literacy programs, and other initiatives to eliminate barriers to affordable housing are in </w:t>
      </w:r>
      <w:r w:rsidR="00066316">
        <w:rPr>
          <w:rFonts w:cs="Arial"/>
        </w:rPr>
        <w:t>place. The</w:t>
      </w:r>
      <w:r>
        <w:rPr>
          <w:rFonts w:cs="Arial"/>
        </w:rPr>
        <w:t xml:space="preserve"> limited number of qualified applicants continues to restrain the number of down payment and closing costs loans.   </w:t>
      </w:r>
    </w:p>
    <w:p w14:paraId="357066AD" w14:textId="37542564" w:rsidR="00555B2B" w:rsidRDefault="0058077A">
      <w:pPr>
        <w:spacing w:beforeAutospacing="1" w:afterAutospacing="1"/>
        <w:rPr>
          <w:rFonts w:cs="Arial"/>
        </w:rPr>
      </w:pPr>
      <w:r>
        <w:rPr>
          <w:rFonts w:cs="Arial"/>
        </w:rPr>
        <w:t xml:space="preserve">There is still a need for additional first-lien financing institutions that are willing to make loans to applicants with credit issues. The acquisition programs are moving </w:t>
      </w:r>
      <w:r w:rsidR="00066316">
        <w:rPr>
          <w:rFonts w:cs="Arial"/>
        </w:rPr>
        <w:t>slowly,</w:t>
      </w:r>
      <w:r>
        <w:rPr>
          <w:rFonts w:cs="Arial"/>
        </w:rPr>
        <w:t xml:space="preserve"> and the numbers remained about the same as last year. </w:t>
      </w:r>
    </w:p>
    <w:p w14:paraId="4565A7A4" w14:textId="666922CD" w:rsidR="00555B2B" w:rsidRDefault="0058077A" w:rsidP="39DBECF2">
      <w:pPr>
        <w:spacing w:beforeAutospacing="1" w:afterAutospacing="1"/>
        <w:rPr>
          <w:rFonts w:cs="Arial"/>
        </w:rPr>
      </w:pPr>
      <w:r w:rsidRPr="39DBECF2">
        <w:rPr>
          <w:rFonts w:cs="Arial"/>
        </w:rPr>
        <w:t>The City focused on grant funds to support the most at-risk population with a Tenant Based Rental Assistance Program administered by the Behavioral Health Network. This program provides a deposit and first year's rental subsidy to individuals who qualify.  Collaborations with the Heart of Texas Homeless Coalition and other agencies to address homelessness and other special needs are elaborated in CR-25.</w:t>
      </w:r>
    </w:p>
    <w:p w14:paraId="67DD2740" w14:textId="77777777" w:rsidR="00555B2B" w:rsidRDefault="0058077A">
      <w:pPr>
        <w:widowControl w:val="0"/>
        <w:spacing w:line="204" w:lineRule="auto"/>
        <w:rPr>
          <w:b/>
          <w:sz w:val="24"/>
          <w:szCs w:val="24"/>
        </w:rPr>
      </w:pPr>
      <w:r>
        <w:rPr>
          <w:b/>
          <w:sz w:val="24"/>
          <w:szCs w:val="24"/>
        </w:rPr>
        <w:t>Discuss how these outcomes will impact future annual action plans.</w:t>
      </w:r>
    </w:p>
    <w:p w14:paraId="2A37B8F0" w14:textId="7EEB0571" w:rsidR="00555B2B" w:rsidRDefault="0058077A">
      <w:pPr>
        <w:spacing w:beforeAutospacing="1" w:afterAutospacing="1"/>
        <w:rPr>
          <w:rFonts w:cs="Arial"/>
        </w:rPr>
      </w:pPr>
      <w:r>
        <w:rPr>
          <w:rFonts w:cs="Arial"/>
        </w:rPr>
        <w:t>The city plans to meet all the future annual action plan goals.</w:t>
      </w:r>
    </w:p>
    <w:p w14:paraId="36BE9E3D" w14:textId="77777777" w:rsidR="00555B2B" w:rsidRDefault="0058077A">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49C955D6" w14:textId="77777777" w:rsidR="00555B2B" w:rsidRDefault="00555B2B">
      <w:pPr>
        <w:widowControl w:val="0"/>
        <w:spacing w:line="204" w:lineRule="auto"/>
        <w:rPr>
          <w:b/>
          <w:vanish/>
          <w:sz w:val="24"/>
          <w:szCs w:val="24"/>
        </w:rPr>
      </w:pPr>
    </w:p>
    <w:tbl>
      <w:tblPr>
        <w:tblW w:w="78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555B2B" w14:paraId="003BF1F6" w14:textId="77777777" w:rsidTr="189EB430">
        <w:trPr>
          <w:cantSplit/>
          <w:trHeight w:val="300"/>
        </w:trPr>
        <w:tc>
          <w:tcPr>
            <w:tcW w:w="4081" w:type="dxa"/>
          </w:tcPr>
          <w:p w14:paraId="4BEEDE1D" w14:textId="42E87C30" w:rsidR="00555B2B" w:rsidRDefault="00066316">
            <w:pPr>
              <w:keepNext/>
              <w:widowControl w:val="0"/>
              <w:spacing w:after="0" w:line="240" w:lineRule="auto"/>
              <w:jc w:val="center"/>
              <w:rPr>
                <w:b/>
              </w:rPr>
            </w:pPr>
            <w:r>
              <w:rPr>
                <w:b/>
              </w:rPr>
              <w:t>Number of</w:t>
            </w:r>
            <w:r w:rsidR="0058077A">
              <w:rPr>
                <w:b/>
              </w:rPr>
              <w:t xml:space="preserve"> Households Served</w:t>
            </w:r>
          </w:p>
        </w:tc>
        <w:tc>
          <w:tcPr>
            <w:tcW w:w="1859" w:type="dxa"/>
          </w:tcPr>
          <w:p w14:paraId="25CBE38A" w14:textId="77777777" w:rsidR="00555B2B" w:rsidRDefault="31D429DA" w:rsidP="189EB430">
            <w:pPr>
              <w:keepNext/>
              <w:widowControl w:val="0"/>
              <w:spacing w:after="0" w:line="240" w:lineRule="auto"/>
              <w:jc w:val="center"/>
              <w:rPr>
                <w:b/>
                <w:bCs/>
              </w:rPr>
            </w:pPr>
            <w:r w:rsidRPr="189EB430">
              <w:rPr>
                <w:b/>
                <w:bCs/>
              </w:rPr>
              <w:t>CDBG Actual</w:t>
            </w:r>
          </w:p>
        </w:tc>
        <w:tc>
          <w:tcPr>
            <w:tcW w:w="1915" w:type="dxa"/>
            <w:gridSpan w:val="2"/>
          </w:tcPr>
          <w:p w14:paraId="7C7864DD" w14:textId="331CEDA9" w:rsidR="00A50E4F" w:rsidRDefault="1215B4E5">
            <w:r>
              <w:t>HOME Actual</w:t>
            </w:r>
          </w:p>
        </w:tc>
      </w:tr>
      <w:tr w:rsidR="00555B2B" w14:paraId="0BA42FD7" w14:textId="77777777" w:rsidTr="189EB430">
        <w:trPr>
          <w:gridAfter w:val="1"/>
          <w:wAfter w:w="25" w:type="dxa"/>
          <w:cantSplit/>
          <w:trHeight w:val="300"/>
        </w:trPr>
        <w:tc>
          <w:tcPr>
            <w:tcW w:w="4081" w:type="dxa"/>
            <w:vAlign w:val="bottom"/>
          </w:tcPr>
          <w:p w14:paraId="16BE23B1" w14:textId="77777777" w:rsidR="00555B2B" w:rsidRDefault="0058077A">
            <w:pPr>
              <w:spacing w:beforeAutospacing="1" w:afterAutospacing="1"/>
            </w:pPr>
            <w:r>
              <w:rPr>
                <w:color w:val="000000"/>
              </w:rPr>
              <w:t>Extremely Low-income</w:t>
            </w:r>
          </w:p>
        </w:tc>
        <w:tc>
          <w:tcPr>
            <w:tcW w:w="1859" w:type="dxa"/>
            <w:vAlign w:val="bottom"/>
          </w:tcPr>
          <w:p w14:paraId="176BEF0F" w14:textId="193CCF51" w:rsidR="00555B2B" w:rsidRDefault="7FADF06E">
            <w:pPr>
              <w:spacing w:beforeAutospacing="1" w:afterAutospacing="1"/>
              <w:jc w:val="right"/>
              <w:rPr>
                <w:color w:val="000000" w:themeColor="text1"/>
              </w:rPr>
            </w:pPr>
            <w:r w:rsidRPr="189EB430">
              <w:rPr>
                <w:color w:val="000000" w:themeColor="text1"/>
              </w:rPr>
              <w:t>1,009</w:t>
            </w:r>
          </w:p>
        </w:tc>
        <w:tc>
          <w:tcPr>
            <w:tcW w:w="1890" w:type="dxa"/>
            <w:vAlign w:val="bottom"/>
          </w:tcPr>
          <w:p w14:paraId="22BEC54F" w14:textId="4CEA154A" w:rsidR="00555B2B" w:rsidRDefault="44B2B330">
            <w:pPr>
              <w:spacing w:beforeAutospacing="1" w:afterAutospacing="1"/>
              <w:jc w:val="right"/>
              <w:rPr>
                <w:color w:val="000000" w:themeColor="text1"/>
              </w:rPr>
            </w:pPr>
            <w:r w:rsidRPr="189EB430">
              <w:rPr>
                <w:color w:val="000000" w:themeColor="text1"/>
              </w:rPr>
              <w:t>38</w:t>
            </w:r>
          </w:p>
        </w:tc>
      </w:tr>
      <w:tr w:rsidR="00555B2B" w14:paraId="60F0A97C" w14:textId="77777777" w:rsidTr="189EB430">
        <w:trPr>
          <w:gridAfter w:val="1"/>
          <w:wAfter w:w="25" w:type="dxa"/>
          <w:cantSplit/>
          <w:trHeight w:val="300"/>
        </w:trPr>
        <w:tc>
          <w:tcPr>
            <w:tcW w:w="4081" w:type="dxa"/>
            <w:vAlign w:val="bottom"/>
          </w:tcPr>
          <w:p w14:paraId="34CC0361" w14:textId="77777777" w:rsidR="00555B2B" w:rsidRDefault="0058077A">
            <w:pPr>
              <w:spacing w:beforeAutospacing="1" w:afterAutospacing="1"/>
            </w:pPr>
            <w:r>
              <w:rPr>
                <w:color w:val="000000"/>
              </w:rPr>
              <w:t>Low-income</w:t>
            </w:r>
          </w:p>
        </w:tc>
        <w:tc>
          <w:tcPr>
            <w:tcW w:w="1859" w:type="dxa"/>
            <w:vAlign w:val="bottom"/>
          </w:tcPr>
          <w:p w14:paraId="11AA6387" w14:textId="4B3FA0EF" w:rsidR="00555B2B" w:rsidRDefault="6944D9F1" w:rsidP="189EB430">
            <w:pPr>
              <w:spacing w:beforeAutospacing="1" w:afterAutospacing="1"/>
              <w:jc w:val="right"/>
            </w:pPr>
            <w:r w:rsidRPr="189EB430">
              <w:rPr>
                <w:color w:val="000000" w:themeColor="text1"/>
              </w:rPr>
              <w:t>68</w:t>
            </w:r>
          </w:p>
        </w:tc>
        <w:tc>
          <w:tcPr>
            <w:tcW w:w="1890" w:type="dxa"/>
            <w:vAlign w:val="bottom"/>
          </w:tcPr>
          <w:p w14:paraId="50B8E9DD" w14:textId="630DBDA0" w:rsidR="00555B2B" w:rsidRDefault="08D9A630">
            <w:pPr>
              <w:spacing w:beforeAutospacing="1" w:afterAutospacing="1"/>
              <w:jc w:val="right"/>
              <w:rPr>
                <w:rFonts w:cs="Calibri"/>
              </w:rPr>
            </w:pPr>
            <w:r w:rsidRPr="189EB430">
              <w:rPr>
                <w:color w:val="000000" w:themeColor="text1"/>
              </w:rPr>
              <w:t>2</w:t>
            </w:r>
          </w:p>
        </w:tc>
      </w:tr>
      <w:tr w:rsidR="00555B2B" w14:paraId="0DA745B6" w14:textId="77777777" w:rsidTr="189EB430">
        <w:trPr>
          <w:gridAfter w:val="1"/>
          <w:wAfter w:w="25" w:type="dxa"/>
          <w:cantSplit/>
          <w:trHeight w:val="300"/>
        </w:trPr>
        <w:tc>
          <w:tcPr>
            <w:tcW w:w="4081" w:type="dxa"/>
            <w:vAlign w:val="bottom"/>
          </w:tcPr>
          <w:p w14:paraId="0BA2F0F6" w14:textId="77777777" w:rsidR="00555B2B" w:rsidRDefault="0058077A">
            <w:pPr>
              <w:spacing w:beforeAutospacing="1" w:afterAutospacing="1"/>
            </w:pPr>
            <w:r>
              <w:rPr>
                <w:color w:val="000000"/>
              </w:rPr>
              <w:t>Moderate-income</w:t>
            </w:r>
          </w:p>
        </w:tc>
        <w:tc>
          <w:tcPr>
            <w:tcW w:w="1859" w:type="dxa"/>
            <w:vAlign w:val="bottom"/>
          </w:tcPr>
          <w:p w14:paraId="0502CAF6" w14:textId="213083EF" w:rsidR="00555B2B" w:rsidRDefault="321FBDAF" w:rsidP="189EB430">
            <w:pPr>
              <w:spacing w:beforeAutospacing="1" w:afterAutospacing="1"/>
              <w:jc w:val="right"/>
              <w:rPr>
                <w:color w:val="000000" w:themeColor="text1"/>
              </w:rPr>
            </w:pPr>
            <w:r w:rsidRPr="189EB430">
              <w:rPr>
                <w:color w:val="000000" w:themeColor="text1"/>
              </w:rPr>
              <w:t>90</w:t>
            </w:r>
          </w:p>
        </w:tc>
        <w:tc>
          <w:tcPr>
            <w:tcW w:w="1890" w:type="dxa"/>
            <w:vAlign w:val="bottom"/>
          </w:tcPr>
          <w:p w14:paraId="5730FEAE" w14:textId="5D423560" w:rsidR="00555B2B" w:rsidRDefault="03A3FF14" w:rsidP="189EB430">
            <w:pPr>
              <w:spacing w:beforeAutospacing="1" w:afterAutospacing="1"/>
              <w:jc w:val="right"/>
            </w:pPr>
            <w:r w:rsidRPr="189EB430">
              <w:rPr>
                <w:color w:val="000000" w:themeColor="text1"/>
              </w:rPr>
              <w:t>3</w:t>
            </w:r>
          </w:p>
        </w:tc>
      </w:tr>
      <w:tr w:rsidR="00555B2B" w14:paraId="1DF0B232" w14:textId="77777777" w:rsidTr="189EB430">
        <w:trPr>
          <w:gridAfter w:val="1"/>
          <w:wAfter w:w="25" w:type="dxa"/>
          <w:cantSplit/>
          <w:trHeight w:val="300"/>
        </w:trPr>
        <w:tc>
          <w:tcPr>
            <w:tcW w:w="4081" w:type="dxa"/>
            <w:vAlign w:val="bottom"/>
          </w:tcPr>
          <w:p w14:paraId="652A0B31" w14:textId="77777777" w:rsidR="00555B2B" w:rsidRDefault="0058077A">
            <w:pPr>
              <w:spacing w:beforeAutospacing="1" w:afterAutospacing="1"/>
            </w:pPr>
            <w:r>
              <w:rPr>
                <w:b/>
                <w:color w:val="000000"/>
              </w:rPr>
              <w:t>Total</w:t>
            </w:r>
          </w:p>
        </w:tc>
        <w:tc>
          <w:tcPr>
            <w:tcW w:w="1859" w:type="dxa"/>
            <w:vAlign w:val="bottom"/>
          </w:tcPr>
          <w:p w14:paraId="18FC39DC" w14:textId="50067DA3" w:rsidR="00555B2B" w:rsidRDefault="257B1695" w:rsidP="189EB430">
            <w:pPr>
              <w:spacing w:beforeAutospacing="1" w:afterAutospacing="1"/>
              <w:jc w:val="right"/>
            </w:pPr>
            <w:r w:rsidRPr="189EB430">
              <w:rPr>
                <w:b/>
                <w:bCs/>
                <w:color w:val="000000" w:themeColor="text1"/>
              </w:rPr>
              <w:t>1,167</w:t>
            </w:r>
          </w:p>
        </w:tc>
        <w:tc>
          <w:tcPr>
            <w:tcW w:w="1890" w:type="dxa"/>
            <w:vAlign w:val="bottom"/>
          </w:tcPr>
          <w:p w14:paraId="1F446558" w14:textId="240EC749" w:rsidR="00555B2B" w:rsidRDefault="6120A814" w:rsidP="189EB430">
            <w:pPr>
              <w:spacing w:beforeAutospacing="1" w:afterAutospacing="1"/>
              <w:jc w:val="right"/>
            </w:pPr>
            <w:r w:rsidRPr="189EB430">
              <w:rPr>
                <w:b/>
                <w:bCs/>
                <w:color w:val="000000" w:themeColor="text1"/>
              </w:rPr>
              <w:t>43</w:t>
            </w:r>
          </w:p>
        </w:tc>
      </w:tr>
    </w:tbl>
    <w:p w14:paraId="35F0D7BF"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13</w:t>
      </w:r>
      <w:r w:rsidRPr="0AF71021">
        <w:rPr>
          <w:rFonts w:asciiTheme="minorHAnsi" w:hAnsiTheme="minorHAnsi"/>
        </w:rPr>
        <w:fldChar w:fldCharType="end"/>
      </w:r>
      <w:r w:rsidRPr="0AF71021">
        <w:rPr>
          <w:rFonts w:asciiTheme="minorHAnsi" w:hAnsiTheme="minorHAnsi"/>
        </w:rPr>
        <w:t xml:space="preserve"> – Number of Households Served</w:t>
      </w:r>
    </w:p>
    <w:p w14:paraId="1C255B56" w14:textId="77777777" w:rsidR="00555B2B" w:rsidRDefault="0058077A">
      <w:pPr>
        <w:widowControl w:val="0"/>
        <w:spacing w:line="204" w:lineRule="auto"/>
        <w:rPr>
          <w:b/>
          <w:sz w:val="24"/>
          <w:szCs w:val="24"/>
        </w:rPr>
      </w:pPr>
      <w:r>
        <w:rPr>
          <w:b/>
          <w:sz w:val="24"/>
          <w:szCs w:val="24"/>
        </w:rPr>
        <w:t>Narrative Information</w:t>
      </w:r>
    </w:p>
    <w:p w14:paraId="602DBC45" w14:textId="77777777" w:rsidR="00555B2B" w:rsidRDefault="00555B2B">
      <w:pPr>
        <w:rPr>
          <w:rFonts w:cs="Arial"/>
        </w:rPr>
      </w:pPr>
    </w:p>
    <w:p w14:paraId="559C8E96" w14:textId="77777777" w:rsidR="00555B2B" w:rsidRDefault="00555B2B">
      <w:pPr>
        <w:rPr>
          <w:rFonts w:cs="Arial"/>
        </w:rPr>
      </w:pPr>
    </w:p>
    <w:p w14:paraId="7217036E" w14:textId="77777777" w:rsidR="00555B2B" w:rsidRDefault="00555B2B">
      <w:pPr>
        <w:pStyle w:val="Heading2"/>
        <w:pageBreakBefore/>
        <w:rPr>
          <w:rFonts w:ascii="Calibri" w:hAnsi="Calibri"/>
          <w:i w:val="0"/>
        </w:rPr>
        <w:sectPr w:rsidR="00555B2B">
          <w:pgSz w:w="12240" w:h="15840" w:code="1"/>
          <w:pgMar w:top="1440" w:right="1440" w:bottom="1440" w:left="1440" w:header="720" w:footer="720" w:gutter="0"/>
          <w:cols w:space="720"/>
          <w:docGrid w:linePitch="360"/>
        </w:sectPr>
      </w:pPr>
    </w:p>
    <w:bookmarkEnd w:id="1"/>
    <w:p w14:paraId="77EB8539" w14:textId="77777777" w:rsidR="00555B2B" w:rsidRDefault="0058077A">
      <w:pPr>
        <w:pStyle w:val="Heading2"/>
        <w:pageBreakBefore/>
        <w:widowControl w:val="0"/>
        <w:rPr>
          <w:rFonts w:ascii="Calibri" w:hAnsi="Calibri"/>
          <w:i w:val="0"/>
        </w:rPr>
      </w:pPr>
      <w:r>
        <w:rPr>
          <w:rFonts w:ascii="Calibri" w:hAnsi="Calibri"/>
          <w:i w:val="0"/>
        </w:rPr>
        <w:t>CR-25 - Homeless and Other Special Needs 91.220(d, e); 91.320(d, e); 91.520(c)</w:t>
      </w:r>
    </w:p>
    <w:p w14:paraId="2162DC10" w14:textId="77777777" w:rsidR="00555B2B" w:rsidRDefault="0058077A">
      <w:pPr>
        <w:keepNext/>
        <w:widowControl w:val="0"/>
        <w:rPr>
          <w:b/>
          <w:sz w:val="24"/>
          <w:szCs w:val="24"/>
        </w:rPr>
      </w:pPr>
      <w:r>
        <w:rPr>
          <w:b/>
          <w:sz w:val="24"/>
          <w:szCs w:val="24"/>
        </w:rPr>
        <w:t>Evaluate the jurisdiction’s progress in meeting its specific objectives for reducing and ending homelessness through:</w:t>
      </w:r>
    </w:p>
    <w:p w14:paraId="68A10B21" w14:textId="77777777" w:rsidR="00555B2B" w:rsidRDefault="0058077A">
      <w:pPr>
        <w:widowControl w:val="0"/>
        <w:rPr>
          <w:b/>
          <w:sz w:val="24"/>
          <w:szCs w:val="24"/>
        </w:rPr>
      </w:pPr>
      <w:r>
        <w:rPr>
          <w:b/>
          <w:sz w:val="24"/>
          <w:szCs w:val="24"/>
        </w:rPr>
        <w:t>Reaching out to homeless persons (especially unsheltered persons) and assessing their individual needs</w:t>
      </w:r>
    </w:p>
    <w:p w14:paraId="0534EF79" w14:textId="77777777" w:rsidR="00555B2B" w:rsidRDefault="0058077A">
      <w:pPr>
        <w:widowControl w:val="0"/>
        <w:spacing w:beforeAutospacing="1" w:afterAutospacing="1"/>
        <w:rPr>
          <w:rFonts w:cs="Arial"/>
        </w:rPr>
      </w:pPr>
      <w:r>
        <w:rPr>
          <w:rFonts w:cs="Arial"/>
        </w:rPr>
        <w:t>The Heart of Texas Homeless Coalition has undertaken several approaches to ensure that homeless families and individuals in the geographic area covered by the jurisdiction are located, assessed, and provided with the services and housing interventions that they need. </w:t>
      </w:r>
    </w:p>
    <w:p w14:paraId="5AD39972" w14:textId="747CA704" w:rsidR="00555B2B" w:rsidRDefault="0058077A">
      <w:pPr>
        <w:widowControl w:val="0"/>
        <w:spacing w:beforeAutospacing="1" w:afterAutospacing="1"/>
        <w:rPr>
          <w:rFonts w:cs="Arial"/>
        </w:rPr>
      </w:pPr>
      <w:r>
        <w:rPr>
          <w:rFonts w:cs="Arial"/>
        </w:rPr>
        <w:t xml:space="preserve">The Heart of Texas MHMR’s PATH Team is the primary outreach team in the jurisdiction’s area. Their outreach includes weekly outreach with partners that include Waco PD, McLennan County Sheriffs’ department, City Code Enforcement, </w:t>
      </w:r>
      <w:r w:rsidR="00066316">
        <w:rPr>
          <w:rFonts w:cs="Arial"/>
        </w:rPr>
        <w:t>Parks,</w:t>
      </w:r>
      <w:r>
        <w:rPr>
          <w:rFonts w:cs="Arial"/>
        </w:rPr>
        <w:t xml:space="preserve"> and Facilities departments along with the Salvation Army, and the Waco VA. The PATH Team conducts regular outreach activities to the unsheltered homeless population and these outreach workers </w:t>
      </w:r>
      <w:proofErr w:type="gramStart"/>
      <w:r>
        <w:rPr>
          <w:rFonts w:cs="Arial"/>
        </w:rPr>
        <w:t>are able to</w:t>
      </w:r>
      <w:proofErr w:type="gramEnd"/>
      <w:r>
        <w:rPr>
          <w:rFonts w:cs="Arial"/>
        </w:rPr>
        <w:t xml:space="preserve"> make contacts and build relationships with these unsheltered homeless individuals. These relationships help to connect these homeless individuals to resources and housing opportunities in the community.  The PATH Team is also responsible for assessing the needs of this population and in referring these individuals to the two local coordinated assessment intake locations where these individuals are assessed using a standardized assessment intake form and a prioritization tool called the VI-SPDAT.</w:t>
      </w:r>
    </w:p>
    <w:p w14:paraId="02B295DE" w14:textId="77777777" w:rsidR="00555B2B" w:rsidRDefault="0058077A">
      <w:pPr>
        <w:widowControl w:val="0"/>
        <w:spacing w:beforeAutospacing="1" w:afterAutospacing="1"/>
        <w:rPr>
          <w:rFonts w:cs="Arial"/>
        </w:rPr>
      </w:pPr>
      <w:r>
        <w:rPr>
          <w:rFonts w:cs="Arial"/>
        </w:rPr>
        <w:t>The Salvation Army staff regularly conducts outreach activities and offers a summer canteen program that provides food and water for unsheltered homeless individuals and families. Visitors to the canteen are assessed to determine their individual needs and are referred to services or to the coordinated assessment intake locations. </w:t>
      </w:r>
    </w:p>
    <w:p w14:paraId="182C04E5" w14:textId="77777777" w:rsidR="00555B2B" w:rsidRDefault="0058077A">
      <w:pPr>
        <w:widowControl w:val="0"/>
        <w:spacing w:beforeAutospacing="1" w:afterAutospacing="1"/>
        <w:rPr>
          <w:rFonts w:cs="Arial"/>
        </w:rPr>
      </w:pPr>
      <w:r>
        <w:rPr>
          <w:rFonts w:cs="Arial"/>
        </w:rPr>
        <w:t>The Heart of Texas Homeless Coalition and the City of Waco, serving as the lead CoC and HMIS agency, has also worked to facilitate meetings with local City officials that have led to a partnership with the Waco Police Department to create a system where local homeless outreach workers are contacted when the police receive a call regarding unsheltered homeless individuals. This arrangement has helped to connect unsheltered homeless individuals to services and has assisted in reducing the number of homeless involved in the local criminal justice system. </w:t>
      </w:r>
    </w:p>
    <w:p w14:paraId="6BC49537" w14:textId="77777777" w:rsidR="00555B2B" w:rsidRDefault="0058077A">
      <w:pPr>
        <w:widowControl w:val="0"/>
        <w:spacing w:beforeAutospacing="1" w:afterAutospacing="1"/>
        <w:rPr>
          <w:rFonts w:cs="Arial"/>
        </w:rPr>
      </w:pPr>
      <w:r>
        <w:rPr>
          <w:rFonts w:cs="Arial"/>
        </w:rPr>
        <w:t>The approaches used by the Heart of Texas Homeless Coalition and its community partners have helped the jurisdiction to make significant progress in meeting its objective of reducing and ending homelessness through an increased number of homeless individuals identified and assessed. </w:t>
      </w:r>
    </w:p>
    <w:p w14:paraId="6F9D4F85" w14:textId="77777777" w:rsidR="00555B2B" w:rsidRDefault="0058077A">
      <w:pPr>
        <w:widowControl w:val="0"/>
        <w:spacing w:beforeAutospacing="1" w:afterAutospacing="1"/>
        <w:rPr>
          <w:rFonts w:cs="Arial"/>
        </w:rPr>
      </w:pPr>
      <w:r>
        <w:rPr>
          <w:rFonts w:cs="Arial"/>
        </w:rPr>
        <w:t>This initial step of identifying and assessing homeless individuals and families is an integral step in the process of providing permanent housing solutions to those who lack a permanent fixed residence in our community.   </w:t>
      </w:r>
    </w:p>
    <w:p w14:paraId="01009AEE" w14:textId="77777777" w:rsidR="00555B2B" w:rsidRDefault="0058077A">
      <w:pPr>
        <w:widowControl w:val="0"/>
        <w:rPr>
          <w:b/>
          <w:sz w:val="24"/>
          <w:szCs w:val="24"/>
        </w:rPr>
      </w:pPr>
      <w:r>
        <w:rPr>
          <w:b/>
          <w:sz w:val="24"/>
          <w:szCs w:val="24"/>
        </w:rPr>
        <w:t>Addressing the emergency shelter and transitional housing needs of homeless persons</w:t>
      </w:r>
    </w:p>
    <w:p w14:paraId="0F444872" w14:textId="77777777" w:rsidR="00555B2B" w:rsidRDefault="0058077A">
      <w:pPr>
        <w:widowControl w:val="0"/>
        <w:spacing w:beforeAutospacing="1" w:afterAutospacing="1"/>
        <w:rPr>
          <w:rFonts w:cs="Arial"/>
        </w:rPr>
      </w:pPr>
      <w:r>
        <w:rPr>
          <w:rFonts w:cs="Arial"/>
        </w:rPr>
        <w:t>The Heart of Texas Homeless Coalition (HOTHC) recognizes that emergency shelter and transitional housing provide a key piece in the puzzle when it comes to moving homeless individuals into permanent housing. To fairly assess the needs of those receiving all types of homeless services, the HOTHC has implemented a coordinated assessment system that utilizes a standardized prioritization tool called the VI-SPDAT. This tool is evidence-based and provides an acuity score that helps intake service professionals to make the most appropriate referral to services based on the needs of the individual or family. Factors, such as mental health, substance abuse, age, medical concerns, education, and social support can be taken into consideration when determining the appropriate support services or housing intervention method to be used. </w:t>
      </w:r>
    </w:p>
    <w:p w14:paraId="499C08CB" w14:textId="6732726D" w:rsidR="00555B2B" w:rsidRDefault="0058077A" w:rsidP="0AF71021">
      <w:pPr>
        <w:widowControl w:val="0"/>
        <w:spacing w:beforeAutospacing="1" w:afterAutospacing="1"/>
        <w:rPr>
          <w:rFonts w:cs="Arial"/>
        </w:rPr>
      </w:pPr>
      <w:r w:rsidRPr="0AF71021">
        <w:rPr>
          <w:rFonts w:cs="Arial"/>
        </w:rPr>
        <w:t>The HOTHC also works to ensure that the emergency shelter and transitional housing offered in the jurisdiction’s area</w:t>
      </w:r>
      <w:r w:rsidR="3DD96C97" w:rsidRPr="0AF71021">
        <w:rPr>
          <w:rFonts w:cs="Arial"/>
        </w:rPr>
        <w:t xml:space="preserve"> </w:t>
      </w:r>
      <w:r w:rsidRPr="0AF71021">
        <w:rPr>
          <w:rFonts w:cs="Arial"/>
        </w:rPr>
        <w:t>are of high quality and that</w:t>
      </w:r>
      <w:r w:rsidR="3DD96C97" w:rsidRPr="0AF71021">
        <w:rPr>
          <w:rFonts w:cs="Arial"/>
        </w:rPr>
        <w:t xml:space="preserve"> </w:t>
      </w:r>
      <w:r w:rsidRPr="0AF71021">
        <w:rPr>
          <w:rFonts w:cs="Arial"/>
        </w:rPr>
        <w:t>they perform effectively. Transitional Housing providers have been annually evaluated by the HOTHC’s Scoring and Ranking Committee that ranks each organization for HUD Continuum of Care Program Competition funding based on its performance on a number of indicators. </w:t>
      </w:r>
    </w:p>
    <w:p w14:paraId="020A2EC0" w14:textId="77777777" w:rsidR="00555B2B" w:rsidRDefault="0058077A">
      <w:pPr>
        <w:widowControl w:val="0"/>
        <w:spacing w:beforeAutospacing="1" w:afterAutospacing="1"/>
        <w:rPr>
          <w:rFonts w:cs="Arial"/>
        </w:rPr>
      </w:pPr>
      <w:r>
        <w:rPr>
          <w:rFonts w:cs="Arial"/>
        </w:rPr>
        <w:t>The City of Waco is the lead agency for HMIS and provides information on the performance and needs of homeless individuals housed in emergency shelters and transitional housing. Each provider with the exception of the VA and domestic violence facilities is required to participate in the HMIS system that collects information on those utilizing these services. This information has been used for planning purposes to better meet the needs of those staying in an emergency shelter or transitional housing and expedite them into permanent housing. </w:t>
      </w:r>
    </w:p>
    <w:p w14:paraId="5BB03332" w14:textId="7B77B7ED" w:rsidR="00555B2B" w:rsidRDefault="31D429DA" w:rsidP="189EB430">
      <w:pPr>
        <w:widowControl w:val="0"/>
        <w:spacing w:beforeAutospacing="1" w:afterAutospacing="1"/>
        <w:rPr>
          <w:rFonts w:cs="Arial"/>
        </w:rPr>
      </w:pPr>
      <w:r w:rsidRPr="189EB430">
        <w:rPr>
          <w:rFonts w:cs="Arial"/>
        </w:rPr>
        <w:t>This coordination and dedication to improving programs have helped to create a system where those who stay in emergency shelters are engaged</w:t>
      </w:r>
      <w:r w:rsidR="3397FA64" w:rsidRPr="189EB430">
        <w:rPr>
          <w:rFonts w:cs="Arial"/>
        </w:rPr>
        <w:t xml:space="preserve"> </w:t>
      </w:r>
      <w:r w:rsidRPr="189EB430">
        <w:rPr>
          <w:rFonts w:cs="Arial"/>
        </w:rPr>
        <w:t>in services, moved to transitional housing, or placed into permanent housing. This approach is a key part of the strategy that has reduced the number of homeless individuals from 600 to</w:t>
      </w:r>
      <w:r w:rsidR="3397FA64" w:rsidRPr="189EB430">
        <w:rPr>
          <w:rFonts w:cs="Arial"/>
        </w:rPr>
        <w:t xml:space="preserve"> </w:t>
      </w:r>
      <w:r w:rsidR="7986AFE4" w:rsidRPr="189EB430">
        <w:rPr>
          <w:rFonts w:cs="Arial"/>
        </w:rPr>
        <w:t xml:space="preserve">195 </w:t>
      </w:r>
      <w:r w:rsidRPr="189EB430">
        <w:rPr>
          <w:rFonts w:cs="Arial"/>
        </w:rPr>
        <w:t>in the past 15 years.</w:t>
      </w:r>
    </w:p>
    <w:p w14:paraId="11A8EEE5" w14:textId="77777777" w:rsidR="00555B2B" w:rsidRDefault="0058077A">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18E176A0" w14:textId="77777777" w:rsidR="00555B2B" w:rsidRDefault="0058077A">
      <w:pPr>
        <w:widowControl w:val="0"/>
        <w:spacing w:beforeAutospacing="1" w:afterAutospacing="1"/>
        <w:rPr>
          <w:rFonts w:cs="Arial"/>
        </w:rPr>
      </w:pPr>
      <w:r>
        <w:rPr>
          <w:rFonts w:cs="Arial"/>
        </w:rPr>
        <w:t>Helping low-income individuals and families avoid homelessness is a key goal of the Heart of Texas Homeless Coalition. A diversion program has been created where intake staff for each homeless shelter and the coordinated assessment locations have been trained to help those seeking shelter to identify immediate alternate housing arrangements outside of the shelter system.</w:t>
      </w:r>
    </w:p>
    <w:p w14:paraId="1C908AC7" w14:textId="77777777" w:rsidR="00555B2B" w:rsidRDefault="0058077A">
      <w:pPr>
        <w:widowControl w:val="0"/>
        <w:spacing w:beforeAutospacing="1" w:afterAutospacing="1"/>
        <w:rPr>
          <w:rFonts w:cs="Arial"/>
        </w:rPr>
      </w:pPr>
      <w:r>
        <w:rPr>
          <w:rFonts w:cs="Arial"/>
        </w:rPr>
        <w:t>This approach helps these individuals and families to identify locations in their own support network where they will be able to stay while they work to return to permanent housing of their own. This not only frees up resources for those who are most in need of assistance, but it also helps individuals and families avoid becoming homeless in the first place. In some instances, agencies are able to provide financial assistance or services to help these individuals remain in their own housing.</w:t>
      </w:r>
    </w:p>
    <w:p w14:paraId="7028C60A" w14:textId="77777777" w:rsidR="00555B2B" w:rsidRDefault="0058077A">
      <w:pPr>
        <w:widowControl w:val="0"/>
        <w:spacing w:beforeAutospacing="1" w:afterAutospacing="1"/>
        <w:rPr>
          <w:rFonts w:cs="Arial"/>
        </w:rPr>
      </w:pPr>
      <w:r>
        <w:rPr>
          <w:rFonts w:cs="Arial"/>
        </w:rPr>
        <w:t>The CoC and HMIS lead agency in conjunction with the CoC committee and stakeholders also work with local hospitals, jails, and other institutions to create a housing plan for individuals who are at risk of becoming homeless upon their release. These institutions have also been provided with a phone number and the address of the coordinated access intake locations in the event that they need to be referred to services.</w:t>
      </w:r>
    </w:p>
    <w:p w14:paraId="67424DFD" w14:textId="77777777" w:rsidR="00555B2B" w:rsidRDefault="0058077A">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5B6D386" w14:textId="0C2A9622" w:rsidR="00555B2B" w:rsidRDefault="31D429DA" w:rsidP="189EB430">
      <w:pPr>
        <w:widowControl w:val="0"/>
        <w:spacing w:beforeAutospacing="1" w:afterAutospacing="1"/>
        <w:rPr>
          <w:rFonts w:cs="Arial"/>
        </w:rPr>
      </w:pPr>
      <w:r w:rsidRPr="189EB430">
        <w:rPr>
          <w:rFonts w:cs="Arial"/>
        </w:rPr>
        <w:t>The Heart of Texas Homeless Coalition along with CoC partners have made significant progress in helping homeless persons make the transition to permanent housing, in reducing the amount of time that individuals and families experience homelessness, and in helping to prevent reoccurrences of homelessness in families and individuals who were recently homeless. HMIS expanded to non-standard practices that have included utilizing HMIS in our Waco Independent School district as a point of reference and also in our local food pantries. This data and point of contact have enabled us to continue to see a decline in homelessness as well as prevent homelessness in some cases. The jurisdiction’s area has seen a decline in overall homelessness from 600 in 2005 to a total of</w:t>
      </w:r>
      <w:r w:rsidR="625BFF66" w:rsidRPr="189EB430">
        <w:rPr>
          <w:rFonts w:cs="Arial"/>
        </w:rPr>
        <w:t xml:space="preserve"> </w:t>
      </w:r>
      <w:r w:rsidRPr="189EB430">
        <w:rPr>
          <w:rFonts w:cs="Arial"/>
        </w:rPr>
        <w:t>195 homeless individuals in 202</w:t>
      </w:r>
      <w:r w:rsidR="36063587" w:rsidRPr="189EB430">
        <w:rPr>
          <w:rFonts w:cs="Arial"/>
        </w:rPr>
        <w:t>2</w:t>
      </w:r>
      <w:r w:rsidRPr="189EB430">
        <w:rPr>
          <w:rFonts w:cs="Arial"/>
        </w:rPr>
        <w:t>. </w:t>
      </w:r>
    </w:p>
    <w:p w14:paraId="01DDBC1C" w14:textId="77777777" w:rsidR="00555B2B" w:rsidRDefault="0058077A">
      <w:pPr>
        <w:widowControl w:val="0"/>
        <w:spacing w:beforeAutospacing="1" w:afterAutospacing="1"/>
        <w:rPr>
          <w:rFonts w:cs="Arial"/>
        </w:rPr>
      </w:pPr>
      <w:r>
        <w:rPr>
          <w:rFonts w:cs="Arial"/>
        </w:rPr>
        <w:t>The Heart of Texas Homeless Coalition has also worked diligently to increase the number of affordable housing options available to low-income individuals. This work is carried out by the Permanent Housing Taskforce which meets monthly to coordinate outreach efforts to landlords in the hopes of educating these individuals about the potential benefits of making units available to this population.  </w:t>
      </w:r>
    </w:p>
    <w:p w14:paraId="32863E89" w14:textId="77777777" w:rsidR="00555B2B" w:rsidRDefault="0058077A">
      <w:pPr>
        <w:widowControl w:val="0"/>
        <w:spacing w:beforeAutospacing="1" w:afterAutospacing="1"/>
        <w:rPr>
          <w:rFonts w:cs="Arial"/>
        </w:rPr>
      </w:pPr>
      <w:r>
        <w:rPr>
          <w:rFonts w:cs="Arial"/>
        </w:rPr>
        <w:t>While the duration of case management differs between service providers, each shelter does provide case management after discharge for its participants. This service helps these individuals and families to stay on track and avoid falling back into homelessness. Each provider also requires that those staying in the shelter must engage in case management after a short period of stay in the emergency shelter. This helps to engage these individuals and families and connect them with services or permanent housing options that shorten the length of time that these individuals remain homeless. </w:t>
      </w:r>
    </w:p>
    <w:p w14:paraId="6319E8BC" w14:textId="77777777" w:rsidR="00555B2B" w:rsidRDefault="00555B2B">
      <w:pPr>
        <w:widowControl w:val="0"/>
        <w:rPr>
          <w:rFonts w:cs="Arial"/>
          <w:szCs w:val="26"/>
        </w:rPr>
      </w:pPr>
    </w:p>
    <w:p w14:paraId="74025267" w14:textId="77777777" w:rsidR="00555B2B" w:rsidRDefault="0058077A">
      <w:pPr>
        <w:pStyle w:val="Heading2"/>
        <w:pageBreakBefore/>
        <w:widowControl w:val="0"/>
        <w:rPr>
          <w:rFonts w:ascii="Calibri" w:hAnsi="Calibri"/>
          <w:i w:val="0"/>
        </w:rPr>
      </w:pPr>
      <w:r>
        <w:rPr>
          <w:rFonts w:ascii="Calibri" w:hAnsi="Calibri"/>
          <w:i w:val="0"/>
        </w:rPr>
        <w:t>CR-30 - Public Housing 91.220(h); 91.320(j)</w:t>
      </w:r>
    </w:p>
    <w:p w14:paraId="18203F05" w14:textId="77777777" w:rsidR="00555B2B" w:rsidRDefault="0058077A">
      <w:pPr>
        <w:keepNext/>
        <w:widowControl w:val="0"/>
        <w:rPr>
          <w:b/>
          <w:sz w:val="24"/>
          <w:szCs w:val="24"/>
        </w:rPr>
      </w:pPr>
      <w:r>
        <w:rPr>
          <w:b/>
          <w:sz w:val="24"/>
          <w:szCs w:val="24"/>
        </w:rPr>
        <w:t>Actions taken to address the needs of public housing</w:t>
      </w:r>
    </w:p>
    <w:p w14:paraId="281E5133" w14:textId="6C34A3E0" w:rsidR="00555B2B" w:rsidRDefault="31D429DA" w:rsidP="189EB430">
      <w:pPr>
        <w:keepNext/>
        <w:widowControl w:val="0"/>
        <w:spacing w:beforeAutospacing="1" w:afterAutospacing="1"/>
        <w:rPr>
          <w:rFonts w:cs="Arial"/>
        </w:rPr>
      </w:pPr>
      <w:r w:rsidRPr="189EB430">
        <w:rPr>
          <w:rFonts w:cs="Arial"/>
        </w:rPr>
        <w:t xml:space="preserve">The City and its CDBG/HOME programs do not manage the public housing in Waco and cannot take direct actions to address the public housing needs. However, the Waco Housing Authority has continued its long-range modernization program to preserve and improve public housing units. The agency received </w:t>
      </w:r>
      <w:r w:rsidR="55C85A0F" w:rsidRPr="189EB430">
        <w:rPr>
          <w:rFonts w:cs="Arial"/>
        </w:rPr>
        <w:t>2,315</w:t>
      </w:r>
      <w:r w:rsidRPr="189EB430">
        <w:rPr>
          <w:rFonts w:cs="Arial"/>
        </w:rPr>
        <w:t xml:space="preserve"> Housing Choice Vouchers and </w:t>
      </w:r>
      <w:r w:rsidR="24D5C0C4" w:rsidRPr="189EB430">
        <w:rPr>
          <w:rFonts w:cs="Arial"/>
        </w:rPr>
        <w:t xml:space="preserve">72 </w:t>
      </w:r>
      <w:r w:rsidRPr="189EB430">
        <w:rPr>
          <w:rFonts w:cs="Arial"/>
        </w:rPr>
        <w:t>Mainstream Vouchers to assist clients who locate housing independent of renting from the Public Housing rental properties. The agency owns, operates, and maintains</w:t>
      </w:r>
      <w:r w:rsidR="625BFF66" w:rsidRPr="189EB430">
        <w:rPr>
          <w:rFonts w:cs="Arial"/>
        </w:rPr>
        <w:t xml:space="preserve"> </w:t>
      </w:r>
      <w:r w:rsidR="004507A4" w:rsidRPr="189EB430">
        <w:rPr>
          <w:rFonts w:cs="Arial"/>
        </w:rPr>
        <w:t xml:space="preserve">634 </w:t>
      </w:r>
      <w:r w:rsidRPr="189EB430">
        <w:rPr>
          <w:rFonts w:cs="Arial"/>
        </w:rPr>
        <w:t>units of public housing. The Waco Housing Opportunities Corporation (WHOC) is a 501(c)3 non-profit created to provide additional affordable housing and services to lower income households by acquiring funds that are not available directly to the WHA.</w:t>
      </w:r>
      <w:r w:rsidR="625BFF66" w:rsidRPr="189EB430">
        <w:rPr>
          <w:rFonts w:cs="Arial"/>
        </w:rPr>
        <w:t xml:space="preserve"> </w:t>
      </w:r>
      <w:r w:rsidRPr="189EB430">
        <w:rPr>
          <w:rFonts w:cs="Arial"/>
        </w:rPr>
        <w:t>The employees of the WHA provide services to WHOC and the Board of Commissioners of the WHA are the directors of WHOC.</w:t>
      </w:r>
      <w:r w:rsidR="625BFF66" w:rsidRPr="189EB430">
        <w:rPr>
          <w:rFonts w:cs="Arial"/>
        </w:rPr>
        <w:t xml:space="preserve"> </w:t>
      </w:r>
      <w:r w:rsidRPr="189EB430">
        <w:rPr>
          <w:rFonts w:cs="Arial"/>
        </w:rPr>
        <w:t>The City has begun discussions with the WHA to develop ways to partner with the to increase the number of housing units and see if there are any other ways we can partner to address the needs of those who need housing assistance.</w:t>
      </w:r>
    </w:p>
    <w:p w14:paraId="2E1DD5B7" w14:textId="3A7FCA27" w:rsidR="00555B2B" w:rsidRDefault="0058077A">
      <w:pPr>
        <w:keepNext/>
        <w:widowControl w:val="0"/>
        <w:spacing w:beforeAutospacing="1" w:afterAutospacing="1"/>
        <w:rPr>
          <w:rFonts w:cs="Arial"/>
        </w:rPr>
      </w:pPr>
      <w:r>
        <w:rPr>
          <w:rFonts w:cs="Arial"/>
        </w:rPr>
        <w:t>The Waco Public Facility Corporation (WPFC), also a 501(c) 3 non-profit, issues bonds on behalf of the WHA with the WHA Board of Commissioners serving as directors of WPFC. The activities of both the WHOC and WPFC assist the housing authority in improving its housing stock and its resident programs. </w:t>
      </w:r>
    </w:p>
    <w:p w14:paraId="499C8C32" w14:textId="2475B2E0" w:rsidR="00555B2B" w:rsidRDefault="31D429DA" w:rsidP="189EB430">
      <w:pPr>
        <w:keepNext/>
        <w:widowControl w:val="0"/>
        <w:spacing w:beforeAutospacing="1" w:afterAutospacing="1"/>
        <w:rPr>
          <w:rFonts w:cs="Arial"/>
        </w:rPr>
      </w:pPr>
      <w:r w:rsidRPr="189EB430">
        <w:rPr>
          <w:rFonts w:cs="Arial"/>
        </w:rPr>
        <w:t>The WHA plan states that they continue to provide for over 3,000 families and</w:t>
      </w:r>
      <w:r w:rsidR="625BFF66" w:rsidRPr="189EB430">
        <w:rPr>
          <w:rFonts w:cs="Arial"/>
        </w:rPr>
        <w:t xml:space="preserve"> </w:t>
      </w:r>
      <w:r w:rsidRPr="189EB430">
        <w:rPr>
          <w:rFonts w:cs="Arial"/>
        </w:rPr>
        <w:t>to be the largest housing provider in Waco.</w:t>
      </w:r>
      <w:r w:rsidR="625BFF66" w:rsidRPr="189EB430">
        <w:rPr>
          <w:rFonts w:cs="Arial"/>
        </w:rPr>
        <w:t xml:space="preserve"> </w:t>
      </w:r>
      <w:r w:rsidRPr="189EB430">
        <w:rPr>
          <w:rFonts w:cs="Arial"/>
        </w:rPr>
        <w:t xml:space="preserve"> They continue to increase the number of landlords participating in Section 8 and working with organizations involved in revitalizing neighborhoods in Waco. Their Section 8 Homeownership Program continues to assist </w:t>
      </w:r>
      <w:r w:rsidR="589741E5" w:rsidRPr="189EB430">
        <w:rPr>
          <w:rFonts w:cs="Arial"/>
        </w:rPr>
        <w:t>13</w:t>
      </w:r>
      <w:r w:rsidR="077B4600" w:rsidRPr="189EB430">
        <w:rPr>
          <w:rFonts w:cs="Arial"/>
        </w:rPr>
        <w:t xml:space="preserve"> </w:t>
      </w:r>
      <w:r w:rsidRPr="189EB430">
        <w:rPr>
          <w:rFonts w:cs="Arial"/>
        </w:rPr>
        <w:t>families with the opportunity for homeownership by making monthly payments towards the family’s mortgage on their behalf. WHA partners with the Family Abuse Center, the Advocacy Center, and CASA to help tenants who are victims of domestic abuse or child neglect/abuse.    </w:t>
      </w:r>
    </w:p>
    <w:p w14:paraId="15BB3548" w14:textId="77777777" w:rsidR="00555B2B" w:rsidRDefault="0058077A">
      <w:pPr>
        <w:widowControl w:val="0"/>
        <w:rPr>
          <w:b/>
          <w:sz w:val="24"/>
          <w:szCs w:val="24"/>
        </w:rPr>
      </w:pPr>
      <w:r>
        <w:rPr>
          <w:b/>
          <w:sz w:val="24"/>
          <w:szCs w:val="24"/>
        </w:rPr>
        <w:t>Actions taken to encourage public housing residents to become more involved in management and participate in homeownership</w:t>
      </w:r>
    </w:p>
    <w:p w14:paraId="49F7B9D6" w14:textId="72DDA1F1" w:rsidR="00555B2B" w:rsidRDefault="31D429DA" w:rsidP="189EB430">
      <w:pPr>
        <w:widowControl w:val="0"/>
        <w:spacing w:beforeAutospacing="1" w:afterAutospacing="1"/>
        <w:rPr>
          <w:rFonts w:cs="Arial"/>
        </w:rPr>
      </w:pPr>
      <w:r w:rsidRPr="189EB430">
        <w:rPr>
          <w:rFonts w:cs="Arial"/>
        </w:rPr>
        <w:t xml:space="preserve">The City of Waco continues its assistance to Waco Housing Authority (WHA) by encouraging resident management participation and homeownership. The Waco Housing Authority continues to provide social services to their residents through partnerships with agencies such as Heart of Texas </w:t>
      </w:r>
      <w:r w:rsidR="5C729016" w:rsidRPr="189EB430">
        <w:rPr>
          <w:rFonts w:cs="Arial"/>
        </w:rPr>
        <w:t>Behavioral Health Network</w:t>
      </w:r>
      <w:r w:rsidRPr="189EB430">
        <w:rPr>
          <w:rFonts w:cs="Arial"/>
        </w:rPr>
        <w:t>, Caritas, VA, and the McLennan Community College Adult Education Programs. </w:t>
      </w:r>
    </w:p>
    <w:p w14:paraId="3FA126CD" w14:textId="2FCDC290" w:rsidR="00555B2B" w:rsidRDefault="31D429DA" w:rsidP="189EB430">
      <w:pPr>
        <w:widowControl w:val="0"/>
        <w:spacing w:beforeAutospacing="1" w:afterAutospacing="1"/>
        <w:rPr>
          <w:rFonts w:cs="Arial"/>
        </w:rPr>
      </w:pPr>
      <w:r w:rsidRPr="189EB430">
        <w:rPr>
          <w:rFonts w:cs="Arial"/>
        </w:rPr>
        <w:t xml:space="preserve">To better assist housing clients to become involved in management and participate in homeownership, WHA administers the Family Self-Sufficiency (FSS) Program. The FSS program serves </w:t>
      </w:r>
      <w:r w:rsidR="555AE697" w:rsidRPr="189EB430">
        <w:rPr>
          <w:rFonts w:cs="Arial"/>
        </w:rPr>
        <w:t>79</w:t>
      </w:r>
      <w:r w:rsidR="6EBB3004" w:rsidRPr="189EB430">
        <w:rPr>
          <w:rFonts w:cs="Arial"/>
        </w:rPr>
        <w:t xml:space="preserve"> </w:t>
      </w:r>
      <w:r w:rsidRPr="189EB430">
        <w:rPr>
          <w:rFonts w:cs="Arial"/>
        </w:rPr>
        <w:t>families with a total escrow of $</w:t>
      </w:r>
      <w:r w:rsidR="7BFCC064" w:rsidRPr="189EB430">
        <w:rPr>
          <w:rFonts w:cs="Arial"/>
        </w:rPr>
        <w:t>203,671.16</w:t>
      </w:r>
      <w:r w:rsidRPr="189EB430">
        <w:rPr>
          <w:rFonts w:cs="Arial"/>
        </w:rPr>
        <w:t>.</w:t>
      </w:r>
      <w:r w:rsidR="625BFF66" w:rsidRPr="189EB430">
        <w:rPr>
          <w:rFonts w:cs="Arial"/>
        </w:rPr>
        <w:t xml:space="preserve"> </w:t>
      </w:r>
      <w:r w:rsidRPr="189EB430">
        <w:rPr>
          <w:rFonts w:cs="Arial"/>
        </w:rPr>
        <w:t>While participating in the program, participants complete the following goals.</w:t>
      </w:r>
    </w:p>
    <w:p w14:paraId="245A5B12" w14:textId="3CF5C849" w:rsidR="00555B2B" w:rsidRDefault="0058077A" w:rsidP="0AF71021">
      <w:pPr>
        <w:widowControl w:val="0"/>
        <w:numPr>
          <w:ilvl w:val="0"/>
          <w:numId w:val="4"/>
        </w:numPr>
        <w:spacing w:beforeAutospacing="1" w:afterAutospacing="1"/>
        <w:rPr>
          <w:rFonts w:cs="Arial"/>
        </w:rPr>
      </w:pPr>
      <w:r w:rsidRPr="167D521D">
        <w:rPr>
          <w:rFonts w:cs="Arial"/>
        </w:rPr>
        <w:t>Obtaining or</w:t>
      </w:r>
      <w:r w:rsidR="247C1095" w:rsidRPr="167D521D">
        <w:rPr>
          <w:rFonts w:cs="Arial"/>
        </w:rPr>
        <w:t xml:space="preserve"> </w:t>
      </w:r>
      <w:r w:rsidRPr="167D521D">
        <w:rPr>
          <w:rFonts w:cs="Arial"/>
        </w:rPr>
        <w:t>maintaining</w:t>
      </w:r>
      <w:r w:rsidR="247C1095" w:rsidRPr="167D521D">
        <w:rPr>
          <w:rFonts w:cs="Arial"/>
        </w:rPr>
        <w:t xml:space="preserve"> </w:t>
      </w:r>
      <w:r w:rsidRPr="167D521D">
        <w:rPr>
          <w:rFonts w:cs="Arial"/>
        </w:rPr>
        <w:t>employment</w:t>
      </w:r>
    </w:p>
    <w:p w14:paraId="396477CA" w14:textId="05965700" w:rsidR="00555B2B" w:rsidRDefault="0058077A" w:rsidP="0AF71021">
      <w:pPr>
        <w:widowControl w:val="0"/>
        <w:numPr>
          <w:ilvl w:val="0"/>
          <w:numId w:val="4"/>
        </w:numPr>
        <w:spacing w:beforeAutospacing="1" w:afterAutospacing="1"/>
        <w:rPr>
          <w:rFonts w:cs="Arial"/>
        </w:rPr>
      </w:pPr>
      <w:r w:rsidRPr="167D521D">
        <w:rPr>
          <w:rFonts w:cs="Arial"/>
        </w:rPr>
        <w:t>Continuing</w:t>
      </w:r>
      <w:r w:rsidR="247C1095" w:rsidRPr="167D521D">
        <w:rPr>
          <w:rFonts w:cs="Arial"/>
        </w:rPr>
        <w:t xml:space="preserve"> </w:t>
      </w:r>
      <w:r w:rsidRPr="167D521D">
        <w:rPr>
          <w:rFonts w:cs="Arial"/>
        </w:rPr>
        <w:t>to pursue higher</w:t>
      </w:r>
      <w:r w:rsidR="247C1095" w:rsidRPr="167D521D">
        <w:rPr>
          <w:rFonts w:cs="Arial"/>
        </w:rPr>
        <w:t xml:space="preserve"> </w:t>
      </w:r>
      <w:r w:rsidRPr="167D521D">
        <w:rPr>
          <w:rFonts w:cs="Arial"/>
        </w:rPr>
        <w:t>education</w:t>
      </w:r>
    </w:p>
    <w:p w14:paraId="5E544757" w14:textId="73945930" w:rsidR="00555B2B" w:rsidRDefault="0058077A" w:rsidP="0AF71021">
      <w:pPr>
        <w:widowControl w:val="0"/>
        <w:numPr>
          <w:ilvl w:val="0"/>
          <w:numId w:val="4"/>
        </w:numPr>
        <w:spacing w:beforeAutospacing="1" w:afterAutospacing="1"/>
        <w:rPr>
          <w:rFonts w:cs="Arial"/>
        </w:rPr>
      </w:pPr>
      <w:r w:rsidRPr="167D521D">
        <w:rPr>
          <w:rFonts w:cs="Arial"/>
        </w:rPr>
        <w:t>Continue to maintain first time</w:t>
      </w:r>
      <w:r w:rsidR="247C1095" w:rsidRPr="167D521D">
        <w:rPr>
          <w:rFonts w:cs="Arial"/>
        </w:rPr>
        <w:t xml:space="preserve"> </w:t>
      </w:r>
      <w:r w:rsidRPr="167D521D">
        <w:rPr>
          <w:rFonts w:cs="Arial"/>
        </w:rPr>
        <w:t>businesses with supportive mentorship and education</w:t>
      </w:r>
    </w:p>
    <w:p w14:paraId="6241AEF8" w14:textId="77777777" w:rsidR="00555B2B" w:rsidRDefault="0058077A">
      <w:pPr>
        <w:widowControl w:val="0"/>
        <w:spacing w:beforeAutospacing="1" w:afterAutospacing="1"/>
        <w:rPr>
          <w:rFonts w:cs="Arial"/>
        </w:rPr>
      </w:pPr>
      <w:r>
        <w:rPr>
          <w:rFonts w:cs="Arial"/>
        </w:rPr>
        <w:t>The unique value of the FSS program is that clients are able to receive supportive case management to reach their individual goals towards self-sufficiency. </w:t>
      </w:r>
    </w:p>
    <w:p w14:paraId="0CE23C2F" w14:textId="56C37BEA" w:rsidR="00555B2B" w:rsidRDefault="0058077A">
      <w:pPr>
        <w:widowControl w:val="0"/>
        <w:spacing w:beforeAutospacing="1" w:afterAutospacing="1"/>
        <w:rPr>
          <w:rFonts w:cs="Arial"/>
        </w:rPr>
      </w:pPr>
      <w:r>
        <w:rPr>
          <w:rFonts w:cs="Arial"/>
        </w:rPr>
        <w:t>Waco Housing Authority also provides computer labs on-site for resident and neighborhood use. The Community Computer Learning Centers sponsor relationships with Waco ISD, McLennan Community College for GED programs, family game and movie nights, as well as computers for study use.  We have collaborated with other community entities such as Habitat for Humanity and financial literacy programs to use the labs.</w:t>
      </w:r>
    </w:p>
    <w:p w14:paraId="5E2B939D" w14:textId="77777777" w:rsidR="00555B2B" w:rsidRDefault="0058077A">
      <w:pPr>
        <w:widowControl w:val="0"/>
        <w:rPr>
          <w:b/>
          <w:sz w:val="24"/>
          <w:szCs w:val="24"/>
        </w:rPr>
      </w:pPr>
      <w:r>
        <w:rPr>
          <w:b/>
          <w:sz w:val="24"/>
          <w:szCs w:val="24"/>
        </w:rPr>
        <w:t xml:space="preserve">Actions taken to provide assistance to troubled </w:t>
      </w:r>
      <w:proofErr w:type="gramStart"/>
      <w:r>
        <w:rPr>
          <w:b/>
          <w:sz w:val="24"/>
          <w:szCs w:val="24"/>
        </w:rPr>
        <w:t>PHAs</w:t>
      </w:r>
      <w:proofErr w:type="gramEnd"/>
    </w:p>
    <w:p w14:paraId="48CAE53F" w14:textId="77777777" w:rsidR="00555B2B" w:rsidRDefault="31D429DA" w:rsidP="189EB430">
      <w:pPr>
        <w:widowControl w:val="0"/>
        <w:spacing w:beforeAutospacing="1" w:afterAutospacing="1"/>
        <w:rPr>
          <w:rFonts w:cs="Arial"/>
        </w:rPr>
      </w:pPr>
      <w:r w:rsidRPr="189EB430">
        <w:rPr>
          <w:rFonts w:cs="Arial"/>
        </w:rPr>
        <w:t>The Waco Housing Authority received a High-Performance Rating for 2019-2020 for meeting or exceeding the three statutory standards of completeness, consistency, and compliance.</w:t>
      </w:r>
    </w:p>
    <w:p w14:paraId="2AC97B5A" w14:textId="77777777" w:rsidR="00555B2B" w:rsidRDefault="0058077A">
      <w:pPr>
        <w:pStyle w:val="Heading2"/>
        <w:pageBreakBefore/>
        <w:widowControl w:val="0"/>
        <w:rPr>
          <w:rFonts w:ascii="Calibri" w:hAnsi="Calibri"/>
          <w:i w:val="0"/>
        </w:rPr>
      </w:pPr>
      <w:r>
        <w:rPr>
          <w:rFonts w:ascii="Calibri" w:hAnsi="Calibri"/>
          <w:i w:val="0"/>
        </w:rPr>
        <w:t>CR-35 - Other Actions 91.220(j)-(k); 91.320(i)-(j)</w:t>
      </w:r>
    </w:p>
    <w:p w14:paraId="0E8E00E4" w14:textId="77777777" w:rsidR="00555B2B" w:rsidRDefault="0058077A">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78C4F275" w14:textId="1B91631B" w:rsidR="00555B2B" w:rsidRDefault="0058077A">
      <w:pPr>
        <w:widowControl w:val="0"/>
        <w:spacing w:beforeAutospacing="1" w:afterAutospacing="1"/>
        <w:rPr>
          <w:rFonts w:cs="Arial"/>
        </w:rPr>
      </w:pPr>
      <w:r>
        <w:rPr>
          <w:rFonts w:cs="Arial"/>
        </w:rPr>
        <w:t>The City of Waco's primary barriers to affordable housing are not created through local policies. The city has made a concerted effort to streamline the development process and offer fee waivers for some development fees. A Housing Coalition was formed to examine barriers to housing developments and explore ways to expand the stock of affordable housing.</w:t>
      </w:r>
    </w:p>
    <w:p w14:paraId="36966538" w14:textId="465A2DF5" w:rsidR="00555B2B" w:rsidRDefault="0058077A" w:rsidP="0AF71021">
      <w:pPr>
        <w:widowControl w:val="0"/>
        <w:spacing w:beforeAutospacing="1" w:afterAutospacing="1"/>
        <w:rPr>
          <w:rFonts w:cs="Arial"/>
        </w:rPr>
      </w:pPr>
      <w:r w:rsidRPr="0AF71021">
        <w:rPr>
          <w:rFonts w:cs="Arial"/>
        </w:rPr>
        <w:t xml:space="preserve">The City will continue to monitor its ordinances and regulations to ensure it does not adopt any policies or procedures that would be a barrier to </w:t>
      </w:r>
      <w:r w:rsidR="247C1095" w:rsidRPr="0AF71021">
        <w:rPr>
          <w:rFonts w:cs="Arial"/>
        </w:rPr>
        <w:t xml:space="preserve">affordable </w:t>
      </w:r>
      <w:r w:rsidRPr="0AF71021">
        <w:rPr>
          <w:rFonts w:cs="Arial"/>
        </w:rPr>
        <w:t>housing.</w:t>
      </w:r>
    </w:p>
    <w:p w14:paraId="42B5F2C8" w14:textId="77777777" w:rsidR="00555B2B" w:rsidRDefault="0058077A">
      <w:pPr>
        <w:widowControl w:val="0"/>
        <w:rPr>
          <w:b/>
          <w:sz w:val="24"/>
          <w:szCs w:val="24"/>
        </w:rPr>
      </w:pPr>
      <w:r>
        <w:rPr>
          <w:b/>
          <w:sz w:val="24"/>
          <w:szCs w:val="24"/>
        </w:rPr>
        <w:t>Actions taken to address obstacles to meeting underserved needs.  91.220(k); 91.320(j)</w:t>
      </w:r>
    </w:p>
    <w:p w14:paraId="592FA98A" w14:textId="77777777" w:rsidR="00555B2B" w:rsidRDefault="0058077A">
      <w:pPr>
        <w:widowControl w:val="0"/>
        <w:spacing w:beforeAutospacing="1" w:afterAutospacing="1"/>
        <w:rPr>
          <w:rFonts w:cs="Arial"/>
        </w:rPr>
      </w:pPr>
      <w:r>
        <w:rPr>
          <w:rFonts w:cs="Arial"/>
        </w:rPr>
        <w:t>The City of Waco continues to work with the Prosper Waco Initiative involving numerous organizations and institutions in Waco to find ways to reduce the number of families living in poverty.</w:t>
      </w:r>
    </w:p>
    <w:p w14:paraId="1487E688" w14:textId="77777777" w:rsidR="00555B2B" w:rsidRDefault="0058077A">
      <w:pPr>
        <w:widowControl w:val="0"/>
        <w:rPr>
          <w:b/>
          <w:sz w:val="24"/>
          <w:szCs w:val="24"/>
        </w:rPr>
      </w:pPr>
      <w:r>
        <w:rPr>
          <w:b/>
          <w:sz w:val="24"/>
          <w:szCs w:val="24"/>
        </w:rPr>
        <w:t>Actions taken to reduce lead-based paint hazards. 91.220(k); 91.320(j)</w:t>
      </w:r>
    </w:p>
    <w:p w14:paraId="3CA3A940" w14:textId="13366140" w:rsidR="00555B2B" w:rsidRDefault="0058077A" w:rsidP="0AF71021">
      <w:pPr>
        <w:widowControl w:val="0"/>
        <w:spacing w:beforeAutospacing="1" w:afterAutospacing="1"/>
        <w:rPr>
          <w:rFonts w:cs="Arial"/>
        </w:rPr>
      </w:pPr>
      <w:r w:rsidRPr="0AF71021">
        <w:rPr>
          <w:rFonts w:cs="Arial"/>
        </w:rPr>
        <w:t xml:space="preserve">The City continues to inform its citizens of lead-based paint hazards through its housing programs. All units rehabilitated under these programs include the reduction of lead-based paint hazards. The </w:t>
      </w:r>
      <w:r w:rsidR="00066316" w:rsidRPr="0AF71021">
        <w:rPr>
          <w:rFonts w:cs="Arial"/>
        </w:rPr>
        <w:t>City,</w:t>
      </w:r>
      <w:r w:rsidRPr="0AF71021">
        <w:rPr>
          <w:rFonts w:cs="Arial"/>
        </w:rPr>
        <w:t xml:space="preserve"> </w:t>
      </w:r>
      <w:proofErr w:type="gramStart"/>
      <w:r w:rsidRPr="0AF71021">
        <w:rPr>
          <w:rFonts w:cs="Arial"/>
        </w:rPr>
        <w:t>in an effort to</w:t>
      </w:r>
      <w:proofErr w:type="gramEnd"/>
      <w:r w:rsidRPr="0AF71021">
        <w:rPr>
          <w:rFonts w:cs="Arial"/>
        </w:rPr>
        <w:t xml:space="preserve"> meet lead-based paint </w:t>
      </w:r>
      <w:r w:rsidR="00066316" w:rsidRPr="0AF71021">
        <w:rPr>
          <w:rFonts w:cs="Arial"/>
        </w:rPr>
        <w:t>regulations,</w:t>
      </w:r>
      <w:r w:rsidRPr="0AF71021">
        <w:rPr>
          <w:rFonts w:cs="Arial"/>
        </w:rPr>
        <w:t xml:space="preserve"> has attended training and workshops dealing with lead-based paint issues. The City </w:t>
      </w:r>
      <w:r w:rsidR="247C1095" w:rsidRPr="0AF71021">
        <w:rPr>
          <w:rFonts w:cs="Arial"/>
        </w:rPr>
        <w:t xml:space="preserve">had </w:t>
      </w:r>
      <w:r w:rsidRPr="0AF71021">
        <w:rPr>
          <w:rFonts w:cs="Arial"/>
        </w:rPr>
        <w:t>applied</w:t>
      </w:r>
      <w:r w:rsidRPr="2FF17B5A">
        <w:rPr>
          <w:rFonts w:cs="Arial"/>
        </w:rPr>
        <w:t xml:space="preserve"> </w:t>
      </w:r>
      <w:r w:rsidR="72EBB50A" w:rsidRPr="2FF17B5A">
        <w:rPr>
          <w:rFonts w:cs="Arial"/>
        </w:rPr>
        <w:t>for</w:t>
      </w:r>
      <w:r w:rsidRPr="0AF71021">
        <w:rPr>
          <w:rFonts w:cs="Arial"/>
        </w:rPr>
        <w:t xml:space="preserve"> and received a grant allocation from the Office of Lead Hazard Control to address the lead-based paint hazard issues within the City of Waco.</w:t>
      </w:r>
      <w:r w:rsidR="247C1095" w:rsidRPr="0AF71021">
        <w:rPr>
          <w:rFonts w:cs="Arial"/>
        </w:rPr>
        <w:t xml:space="preserve">  Although the grant period ended on September 30, 2023, the City through its utilization of CDBG and American Rescue Plan Act (ARPA) funds will </w:t>
      </w:r>
      <w:r w:rsidR="6E66C8A9" w:rsidRPr="0AF71021">
        <w:rPr>
          <w:rFonts w:cs="Arial"/>
        </w:rPr>
        <w:t>continue to operate its Lead is Preventable Program.</w:t>
      </w:r>
    </w:p>
    <w:p w14:paraId="6DA0DEC7" w14:textId="77777777" w:rsidR="00555B2B" w:rsidRDefault="0058077A">
      <w:pPr>
        <w:widowControl w:val="0"/>
        <w:spacing w:beforeAutospacing="1" w:afterAutospacing="1"/>
        <w:rPr>
          <w:rFonts w:cs="Arial"/>
        </w:rPr>
      </w:pPr>
      <w:r>
        <w:rPr>
          <w:rFonts w:cs="Arial"/>
        </w:rPr>
        <w:t>A large population of residential housing developments in Waco were built prior to 1978 located in the low-to-moderate income census tracts; however, some owner-occupied and acquisition units that were assisted with grant funding were built after 1978.</w:t>
      </w:r>
    </w:p>
    <w:p w14:paraId="4F8F7306" w14:textId="167A1E54" w:rsidR="00555B2B" w:rsidRDefault="0058077A" w:rsidP="0AF71021">
      <w:pPr>
        <w:widowControl w:val="0"/>
        <w:spacing w:beforeAutospacing="1" w:afterAutospacing="1"/>
        <w:rPr>
          <w:rFonts w:cs="Arial"/>
        </w:rPr>
      </w:pPr>
      <w:r w:rsidRPr="0AF71021">
        <w:rPr>
          <w:rFonts w:cs="Arial"/>
        </w:rPr>
        <w:t>With the implementation of various programs which require a pre-lead-based assessment, the program policy, and procedures manual addresses compliance with the Residential Lead-Based Paint Hazard Reduction Act of 1992 (Title X) and subsequent changes in September 1999.</w:t>
      </w:r>
      <w:r w:rsidR="247C1095" w:rsidRPr="0AF71021">
        <w:rPr>
          <w:rFonts w:cs="Arial"/>
        </w:rPr>
        <w:t xml:space="preserve"> </w:t>
      </w:r>
      <w:r w:rsidRPr="0AF71021">
        <w:rPr>
          <w:rFonts w:cs="Arial"/>
        </w:rPr>
        <w:t>The procedures include:</w:t>
      </w:r>
    </w:p>
    <w:p w14:paraId="4D3C9B66" w14:textId="65EA2C65" w:rsidR="00555B2B" w:rsidRDefault="0058077A">
      <w:pPr>
        <w:widowControl w:val="0"/>
        <w:spacing w:beforeAutospacing="1" w:afterAutospacing="1"/>
        <w:rPr>
          <w:rFonts w:cs="Arial"/>
        </w:rPr>
      </w:pPr>
      <w:r>
        <w:rPr>
          <w:rFonts w:cs="Arial"/>
        </w:rPr>
        <w:t>1. Notification</w:t>
      </w:r>
    </w:p>
    <w:p w14:paraId="29227950" w14:textId="63B5FB27" w:rsidR="00555B2B" w:rsidRDefault="0058077A">
      <w:pPr>
        <w:widowControl w:val="0"/>
        <w:spacing w:beforeAutospacing="1" w:afterAutospacing="1"/>
        <w:rPr>
          <w:rFonts w:cs="Arial"/>
        </w:rPr>
      </w:pPr>
      <w:r>
        <w:rPr>
          <w:rFonts w:cs="Arial"/>
        </w:rPr>
        <w:t>2. Identification</w:t>
      </w:r>
    </w:p>
    <w:p w14:paraId="2A94C310" w14:textId="5770E68D" w:rsidR="00555B2B" w:rsidRDefault="0058077A">
      <w:pPr>
        <w:widowControl w:val="0"/>
        <w:spacing w:beforeAutospacing="1" w:afterAutospacing="1"/>
        <w:rPr>
          <w:rFonts w:cs="Arial"/>
        </w:rPr>
      </w:pPr>
      <w:r>
        <w:rPr>
          <w:rFonts w:cs="Arial"/>
        </w:rPr>
        <w:t>3. Treatment (if necessary)</w:t>
      </w:r>
    </w:p>
    <w:p w14:paraId="280BFDDA" w14:textId="77777777" w:rsidR="00555B2B" w:rsidRDefault="0058077A">
      <w:pPr>
        <w:widowControl w:val="0"/>
        <w:spacing w:beforeAutospacing="1" w:afterAutospacing="1"/>
        <w:rPr>
          <w:rFonts w:cs="Arial"/>
        </w:rPr>
      </w:pPr>
      <w:r>
        <w:rPr>
          <w:rFonts w:cs="Arial"/>
        </w:rPr>
        <w:t>When applicable, the City will use outside Lead Testing Agencies for technical assistance, risk assessment, and clearance of properties being rehabilitated. The City requires all contractors to have at least completed the Lead Safety Renovation, Repair, and Painting course in order to perform major rehabilitation activities on homes constructed before 1978 for this program.</w:t>
      </w:r>
    </w:p>
    <w:p w14:paraId="6F166125" w14:textId="150512F0" w:rsidR="00555B2B" w:rsidRDefault="0058077A" w:rsidP="0AF71021">
      <w:pPr>
        <w:widowControl w:val="0"/>
        <w:spacing w:beforeAutospacing="1" w:afterAutospacing="1"/>
        <w:rPr>
          <w:rFonts w:cs="Arial"/>
        </w:rPr>
      </w:pPr>
      <w:r w:rsidRPr="0AF71021">
        <w:rPr>
          <w:rFonts w:cs="Arial"/>
        </w:rPr>
        <w:t>The City’s Housing Rehab</w:t>
      </w:r>
      <w:r w:rsidR="6E66C8A9" w:rsidRPr="0AF71021">
        <w:rPr>
          <w:rFonts w:cs="Arial"/>
        </w:rPr>
        <w:t>ilitation Specialist</w:t>
      </w:r>
      <w:r w:rsidRPr="0AF71021">
        <w:rPr>
          <w:rFonts w:cs="Arial"/>
        </w:rPr>
        <w:t xml:space="preserve"> has </w:t>
      </w:r>
      <w:r w:rsidR="16D87802" w:rsidRPr="0AF71021">
        <w:rPr>
          <w:rFonts w:cs="Arial"/>
        </w:rPr>
        <w:t xml:space="preserve">taken initial courses for the Lead Risk Assessor and Lead Inspector per the requirements set forth by the Texas Dept of State Health Services </w:t>
      </w:r>
      <w:r w:rsidRPr="0AF71021">
        <w:rPr>
          <w:rFonts w:cs="Arial"/>
        </w:rPr>
        <w:t>and the City began implementation of the EPA’s Renovation Repair and Painting rule in April 2010.</w:t>
      </w:r>
    </w:p>
    <w:p w14:paraId="4899B72F" w14:textId="77777777" w:rsidR="00555B2B" w:rsidRDefault="0058077A">
      <w:pPr>
        <w:widowControl w:val="0"/>
        <w:rPr>
          <w:b/>
          <w:sz w:val="24"/>
          <w:szCs w:val="24"/>
        </w:rPr>
      </w:pPr>
      <w:r>
        <w:rPr>
          <w:b/>
          <w:sz w:val="24"/>
          <w:szCs w:val="24"/>
        </w:rPr>
        <w:t>Actions taken to reduce the number of poverty-level families. 91.220(k); 91.320(j)</w:t>
      </w:r>
    </w:p>
    <w:p w14:paraId="4C1571E5" w14:textId="77777777" w:rsidR="00555B2B" w:rsidRDefault="0058077A">
      <w:pPr>
        <w:widowControl w:val="0"/>
        <w:spacing w:beforeAutospacing="1" w:afterAutospacing="1"/>
        <w:rPr>
          <w:rFonts w:cs="Arial"/>
        </w:rPr>
      </w:pPr>
      <w:r>
        <w:rPr>
          <w:rFonts w:cs="Arial"/>
        </w:rPr>
        <w:t>Actions planned to reduce the number of poverty-level families</w:t>
      </w:r>
    </w:p>
    <w:p w14:paraId="6DBF46A4" w14:textId="77777777" w:rsidR="00555B2B" w:rsidRDefault="0058077A">
      <w:pPr>
        <w:widowControl w:val="0"/>
        <w:numPr>
          <w:ilvl w:val="0"/>
          <w:numId w:val="4"/>
        </w:numPr>
        <w:spacing w:beforeAutospacing="1" w:afterAutospacing="1"/>
        <w:rPr>
          <w:rFonts w:cs="Arial"/>
        </w:rPr>
      </w:pPr>
      <w:r w:rsidRPr="167D521D">
        <w:rPr>
          <w:rFonts w:cs="Arial"/>
        </w:rPr>
        <w:t>Continue to provide and expand affordable housing programs to reduce the economic impact of rent and homeownership burdens on low-income households,</w:t>
      </w:r>
    </w:p>
    <w:p w14:paraId="5E05E35C" w14:textId="77777777" w:rsidR="00555B2B" w:rsidRDefault="0058077A">
      <w:pPr>
        <w:widowControl w:val="0"/>
        <w:numPr>
          <w:ilvl w:val="0"/>
          <w:numId w:val="4"/>
        </w:numPr>
        <w:spacing w:beforeAutospacing="1" w:afterAutospacing="1"/>
        <w:rPr>
          <w:rFonts w:cs="Arial"/>
        </w:rPr>
      </w:pPr>
      <w:r w:rsidRPr="167D521D">
        <w:rPr>
          <w:rFonts w:cs="Arial"/>
        </w:rPr>
        <w:t>Continue to provide economic development incentives utilizing local funds to encourage the retention and creation of employment opportunities available to low-income residents,</w:t>
      </w:r>
    </w:p>
    <w:p w14:paraId="22F01BE9" w14:textId="77777777" w:rsidR="00555B2B" w:rsidRDefault="0058077A">
      <w:pPr>
        <w:widowControl w:val="0"/>
        <w:numPr>
          <w:ilvl w:val="0"/>
          <w:numId w:val="4"/>
        </w:numPr>
        <w:spacing w:beforeAutospacing="1" w:afterAutospacing="1"/>
        <w:rPr>
          <w:rFonts w:cs="Arial"/>
        </w:rPr>
      </w:pPr>
      <w:r w:rsidRPr="167D521D">
        <w:rPr>
          <w:rFonts w:cs="Arial"/>
        </w:rPr>
        <w:t>Continue to include and enforce requirements of Section 3 in applicable contracts utilizing federal funds,</w:t>
      </w:r>
    </w:p>
    <w:p w14:paraId="706B8B2A" w14:textId="77777777" w:rsidR="00555B2B" w:rsidRDefault="0058077A">
      <w:pPr>
        <w:widowControl w:val="0"/>
        <w:numPr>
          <w:ilvl w:val="0"/>
          <w:numId w:val="4"/>
        </w:numPr>
        <w:spacing w:beforeAutospacing="1" w:afterAutospacing="1"/>
        <w:rPr>
          <w:rFonts w:cs="Arial"/>
        </w:rPr>
      </w:pPr>
      <w:r w:rsidRPr="167D521D">
        <w:rPr>
          <w:rFonts w:cs="Arial"/>
        </w:rPr>
        <w:t>Continue to support local non-profit organizations that provide educational courses in homebuyer and homeowner responsibilities, home maintenance, budgeting, nutrition, parenting, affordable rental units, and other health and human services,</w:t>
      </w:r>
    </w:p>
    <w:p w14:paraId="68C6BC12" w14:textId="77777777" w:rsidR="00555B2B" w:rsidRDefault="0058077A">
      <w:pPr>
        <w:widowControl w:val="0"/>
        <w:numPr>
          <w:ilvl w:val="0"/>
          <w:numId w:val="4"/>
        </w:numPr>
        <w:spacing w:beforeAutospacing="1" w:afterAutospacing="1"/>
        <w:rPr>
          <w:rFonts w:cs="Arial"/>
        </w:rPr>
      </w:pPr>
      <w:r w:rsidRPr="167D521D">
        <w:rPr>
          <w:rFonts w:cs="Arial"/>
        </w:rPr>
        <w:t>Continue to support public service activities that enhance the quality of life of low-income residents,</w:t>
      </w:r>
    </w:p>
    <w:p w14:paraId="2B29FB72" w14:textId="77777777" w:rsidR="00555B2B" w:rsidRDefault="0058077A">
      <w:pPr>
        <w:widowControl w:val="0"/>
        <w:numPr>
          <w:ilvl w:val="0"/>
          <w:numId w:val="4"/>
        </w:numPr>
        <w:spacing w:beforeAutospacing="1" w:afterAutospacing="1"/>
        <w:rPr>
          <w:rFonts w:cs="Arial"/>
        </w:rPr>
      </w:pPr>
      <w:r w:rsidRPr="167D521D">
        <w:rPr>
          <w:rFonts w:cs="Arial"/>
        </w:rPr>
        <w:t>Continue to support public service activities that allow youth to meet their maximum potential and ultimately leave the poverty environment,</w:t>
      </w:r>
    </w:p>
    <w:p w14:paraId="04A01664" w14:textId="77777777" w:rsidR="00555B2B" w:rsidRDefault="0058077A">
      <w:pPr>
        <w:widowControl w:val="0"/>
        <w:numPr>
          <w:ilvl w:val="0"/>
          <w:numId w:val="4"/>
        </w:numPr>
        <w:spacing w:beforeAutospacing="1" w:afterAutospacing="1"/>
        <w:rPr>
          <w:rFonts w:cs="Arial"/>
        </w:rPr>
      </w:pPr>
      <w:r w:rsidRPr="167D521D">
        <w:rPr>
          <w:rFonts w:cs="Arial"/>
        </w:rPr>
        <w:t>Encourage and initiate efforts to promote collaboration and reduce duplication of effort amongst the region’s entities and public service providers, and</w:t>
      </w:r>
    </w:p>
    <w:p w14:paraId="0C87A2DE" w14:textId="77777777" w:rsidR="00555B2B" w:rsidRDefault="0058077A">
      <w:pPr>
        <w:widowControl w:val="0"/>
        <w:rPr>
          <w:b/>
          <w:sz w:val="24"/>
          <w:szCs w:val="24"/>
        </w:rPr>
      </w:pPr>
      <w:r>
        <w:rPr>
          <w:b/>
          <w:sz w:val="24"/>
          <w:szCs w:val="24"/>
        </w:rPr>
        <w:t>Actions taken to develop institutional structure. 91.220(k); 91.320(j)</w:t>
      </w:r>
    </w:p>
    <w:p w14:paraId="4A7FDC64" w14:textId="7EB42CDE" w:rsidR="00555B2B" w:rsidRDefault="0058077A">
      <w:pPr>
        <w:widowControl w:val="0"/>
        <w:spacing w:beforeAutospacing="1" w:afterAutospacing="1"/>
        <w:rPr>
          <w:rFonts w:cs="Arial"/>
        </w:rPr>
      </w:pPr>
      <w:r>
        <w:rPr>
          <w:rFonts w:cs="Arial"/>
        </w:rPr>
        <w:t>During the year the City took the following actions to overcome gaps in institutional structures and enhance coordination:</w:t>
      </w:r>
    </w:p>
    <w:p w14:paraId="2636B595" w14:textId="525C004F" w:rsidR="00555B2B" w:rsidRDefault="0058077A">
      <w:pPr>
        <w:widowControl w:val="0"/>
        <w:spacing w:beforeAutospacing="1" w:afterAutospacing="1"/>
        <w:rPr>
          <w:rFonts w:cs="Arial"/>
        </w:rPr>
      </w:pPr>
      <w:r>
        <w:rPr>
          <w:rFonts w:cs="Arial"/>
        </w:rPr>
        <w:t>The City continues to participate in monthly Housing Coalition meetings where members prioritize housing needs and develop strategies and specific activities to enhance affordable housing in the City of Waco.</w:t>
      </w:r>
    </w:p>
    <w:p w14:paraId="1BE0D306" w14:textId="77777777" w:rsidR="00555B2B" w:rsidRDefault="0058077A">
      <w:pPr>
        <w:widowControl w:val="0"/>
        <w:spacing w:beforeAutospacing="1" w:afterAutospacing="1"/>
        <w:rPr>
          <w:rFonts w:cs="Arial"/>
        </w:rPr>
      </w:pPr>
      <w:r>
        <w:rPr>
          <w:rFonts w:cs="Arial"/>
        </w:rPr>
        <w:t>Members include:</w:t>
      </w:r>
    </w:p>
    <w:p w14:paraId="1B0C4202" w14:textId="77777777" w:rsidR="00555B2B" w:rsidRDefault="0058077A">
      <w:pPr>
        <w:widowControl w:val="0"/>
        <w:numPr>
          <w:ilvl w:val="0"/>
          <w:numId w:val="4"/>
        </w:numPr>
        <w:spacing w:beforeAutospacing="1" w:afterAutospacing="1"/>
        <w:rPr>
          <w:rFonts w:cs="Arial"/>
        </w:rPr>
      </w:pPr>
      <w:r w:rsidRPr="167D521D">
        <w:rPr>
          <w:rFonts w:cs="Arial"/>
        </w:rPr>
        <w:t>Employees representing the three active Community Housing Development Organizations (CHDOs) including, Waco Habitat for Humanity, NeighborWorks Waco, and Grassroots Development Corporation (formerly Waco Community Development Corporation);</w:t>
      </w:r>
    </w:p>
    <w:p w14:paraId="404CFC60" w14:textId="77777777" w:rsidR="00555B2B" w:rsidRDefault="0058077A">
      <w:pPr>
        <w:widowControl w:val="0"/>
        <w:numPr>
          <w:ilvl w:val="0"/>
          <w:numId w:val="4"/>
        </w:numPr>
        <w:spacing w:beforeAutospacing="1" w:afterAutospacing="1"/>
        <w:rPr>
          <w:rFonts w:cs="Arial"/>
        </w:rPr>
      </w:pPr>
      <w:r w:rsidRPr="167D521D">
        <w:rPr>
          <w:rFonts w:cs="Arial"/>
        </w:rPr>
        <w:t>the Waco Housing Authority;</w:t>
      </w:r>
    </w:p>
    <w:p w14:paraId="647ACACF" w14:textId="77777777" w:rsidR="00555B2B" w:rsidRDefault="0058077A">
      <w:pPr>
        <w:widowControl w:val="0"/>
        <w:numPr>
          <w:ilvl w:val="0"/>
          <w:numId w:val="4"/>
        </w:numPr>
        <w:spacing w:beforeAutospacing="1" w:afterAutospacing="1"/>
        <w:rPr>
          <w:rFonts w:cs="Arial"/>
        </w:rPr>
      </w:pPr>
      <w:r w:rsidRPr="167D521D">
        <w:rPr>
          <w:rFonts w:cs="Arial"/>
        </w:rPr>
        <w:t>the Heart of Central Texas Independent Living Center; Aging &amp; Disability Resource Center;</w:t>
      </w:r>
    </w:p>
    <w:p w14:paraId="55C36288" w14:textId="612A3CE1" w:rsidR="00555B2B" w:rsidRDefault="0058077A">
      <w:pPr>
        <w:widowControl w:val="0"/>
        <w:numPr>
          <w:ilvl w:val="0"/>
          <w:numId w:val="4"/>
        </w:numPr>
        <w:spacing w:beforeAutospacing="1" w:afterAutospacing="1"/>
        <w:rPr>
          <w:rFonts w:cs="Arial"/>
        </w:rPr>
      </w:pPr>
      <w:r w:rsidRPr="167D521D">
        <w:rPr>
          <w:rFonts w:cs="Arial"/>
        </w:rPr>
        <w:t>and the City of Waco.</w:t>
      </w:r>
    </w:p>
    <w:p w14:paraId="43A7D47F" w14:textId="21FA3D94" w:rsidR="00555B2B" w:rsidRDefault="0058077A" w:rsidP="0AF71021">
      <w:pPr>
        <w:widowControl w:val="0"/>
        <w:spacing w:beforeAutospacing="1" w:afterAutospacing="1"/>
        <w:rPr>
          <w:rFonts w:cs="Arial"/>
        </w:rPr>
      </w:pPr>
      <w:r w:rsidRPr="0AF71021">
        <w:rPr>
          <w:rFonts w:cs="Arial"/>
        </w:rPr>
        <w:t>The City continues to use CDBG funds to support the area’s HUD-required Homeless Management Information System (HMIS). HMIS “links those in need to those who care” and connects area social service agencies that serve the homeless. This allows agencies to better meet the needs of their clients, maintain data regarding service use, and prevent duplication of services.</w:t>
      </w:r>
      <w:r w:rsidR="6E66C8A9" w:rsidRPr="0AF71021">
        <w:rPr>
          <w:rFonts w:cs="Arial"/>
        </w:rPr>
        <w:t xml:space="preserve"> </w:t>
      </w:r>
      <w:r w:rsidRPr="0AF71021">
        <w:rPr>
          <w:rFonts w:cs="Arial"/>
        </w:rPr>
        <w:t>Currently, nine agencies are utilizing the Homeless Management Information System (HMIS).</w:t>
      </w:r>
    </w:p>
    <w:p w14:paraId="188FE4DB" w14:textId="77777777" w:rsidR="00555B2B" w:rsidRDefault="0058077A">
      <w:pPr>
        <w:widowControl w:val="0"/>
        <w:rPr>
          <w:b/>
          <w:sz w:val="24"/>
          <w:szCs w:val="24"/>
        </w:rPr>
      </w:pPr>
      <w:r>
        <w:rPr>
          <w:b/>
          <w:sz w:val="24"/>
          <w:szCs w:val="24"/>
        </w:rPr>
        <w:t>Actions taken to enhance coordination between public and private housing and social service agencies. 91.220(k); 91.320(j)</w:t>
      </w:r>
    </w:p>
    <w:p w14:paraId="634B5B6E" w14:textId="77777777" w:rsidR="00555B2B" w:rsidRDefault="0058077A">
      <w:pPr>
        <w:widowControl w:val="0"/>
        <w:spacing w:beforeAutospacing="1" w:afterAutospacing="1"/>
        <w:rPr>
          <w:rFonts w:cs="Arial"/>
        </w:rPr>
      </w:pPr>
      <w:r>
        <w:rPr>
          <w:rFonts w:cs="Arial"/>
        </w:rPr>
        <w:t>The City of Waco has been having discussions with the Continuum of Care board and the Heart of Texas Coalition Board on how to better serve the homeless population. Prosper Waco has become a part of the discussion to look at and analyze data regarding this underserved population.</w:t>
      </w:r>
    </w:p>
    <w:p w14:paraId="5CFF7BCD" w14:textId="77777777" w:rsidR="00555B2B" w:rsidRDefault="0058077A">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503D5671" w14:textId="77777777" w:rsidR="00555B2B" w:rsidRDefault="0058077A">
      <w:pPr>
        <w:widowControl w:val="0"/>
        <w:spacing w:beforeAutospacing="1" w:afterAutospacing="1"/>
        <w:rPr>
          <w:rFonts w:cs="Arial"/>
        </w:rPr>
      </w:pPr>
      <w:r>
        <w:rPr>
          <w:rFonts w:cs="Arial"/>
        </w:rPr>
        <w:t>The City has instituted the use of both English and Spanish brochures that contain information as to the appropriate location for obtaining information or making complaints involving fair housing matters. </w:t>
      </w:r>
    </w:p>
    <w:p w14:paraId="5C2A0743" w14:textId="77777777" w:rsidR="00555B2B" w:rsidRDefault="0058077A">
      <w:pPr>
        <w:widowControl w:val="0"/>
        <w:spacing w:beforeAutospacing="1" w:afterAutospacing="1"/>
        <w:rPr>
          <w:rFonts w:cs="Arial"/>
        </w:rPr>
      </w:pPr>
      <w:r>
        <w:rPr>
          <w:rFonts w:cs="Arial"/>
        </w:rPr>
        <w:t>The City also posted general Fair Housing information on the City’s webpage.</w:t>
      </w:r>
    </w:p>
    <w:p w14:paraId="536589DA" w14:textId="181908E5" w:rsidR="00555B2B" w:rsidRDefault="0058077A">
      <w:pPr>
        <w:widowControl w:val="0"/>
        <w:spacing w:beforeAutospacing="1" w:afterAutospacing="1"/>
        <w:rPr>
          <w:rFonts w:cs="Arial"/>
        </w:rPr>
      </w:pPr>
      <w:r>
        <w:rPr>
          <w:rFonts w:cs="Arial"/>
        </w:rPr>
        <w:t>The Director of Housing and Community Development is the Fair Housing Administrator and has the responsibility of implementing the City’s Fair Housing Ordinance by investigating complaints.</w:t>
      </w:r>
    </w:p>
    <w:p w14:paraId="79665B57" w14:textId="77777777" w:rsidR="00555B2B" w:rsidRDefault="0058077A">
      <w:pPr>
        <w:widowControl w:val="0"/>
        <w:spacing w:beforeAutospacing="1" w:afterAutospacing="1"/>
        <w:rPr>
          <w:rFonts w:cs="Arial"/>
        </w:rPr>
      </w:pPr>
      <w:r>
        <w:rPr>
          <w:rFonts w:cs="Arial"/>
        </w:rPr>
        <w:t>The City of Waco has a Fair Housing Ordinance, which supports the administration and enforcement of state fair housing laws providing for fair housing consistent with the federal fair housing law. </w:t>
      </w:r>
    </w:p>
    <w:p w14:paraId="66CB0F11" w14:textId="77777777" w:rsidR="00555B2B" w:rsidRDefault="0058077A">
      <w:pPr>
        <w:widowControl w:val="0"/>
        <w:spacing w:beforeAutospacing="1" w:afterAutospacing="1"/>
        <w:rPr>
          <w:rFonts w:cs="Arial"/>
        </w:rPr>
      </w:pPr>
      <w:r>
        <w:rPr>
          <w:rFonts w:cs="Arial"/>
        </w:rPr>
        <w:t>Proposed actions to overcome impediments under Fair Housing Activities include:</w:t>
      </w:r>
    </w:p>
    <w:p w14:paraId="170DDFC3" w14:textId="77777777" w:rsidR="00555B2B" w:rsidRDefault="0058077A">
      <w:pPr>
        <w:widowControl w:val="0"/>
        <w:numPr>
          <w:ilvl w:val="0"/>
          <w:numId w:val="4"/>
        </w:numPr>
        <w:spacing w:beforeAutospacing="1" w:afterAutospacing="1"/>
        <w:rPr>
          <w:rFonts w:cs="Arial"/>
        </w:rPr>
      </w:pPr>
      <w:r w:rsidRPr="167D521D">
        <w:rPr>
          <w:rFonts w:cs="Arial"/>
        </w:rPr>
        <w:t>strict adherence to the existing Ordinance, </w:t>
      </w:r>
    </w:p>
    <w:p w14:paraId="0A4DF47D" w14:textId="13770087" w:rsidR="00555B2B" w:rsidRDefault="0058077A">
      <w:pPr>
        <w:widowControl w:val="0"/>
        <w:numPr>
          <w:ilvl w:val="0"/>
          <w:numId w:val="4"/>
        </w:numPr>
        <w:spacing w:beforeAutospacing="1" w:afterAutospacing="1"/>
        <w:rPr>
          <w:rFonts w:cs="Arial"/>
        </w:rPr>
      </w:pPr>
      <w:r w:rsidRPr="167D521D">
        <w:rPr>
          <w:rFonts w:cs="Arial"/>
        </w:rPr>
        <w:t>continued sponsorship of Fair Housing Activities through educational forums,</w:t>
      </w:r>
    </w:p>
    <w:p w14:paraId="6BA91F2C" w14:textId="77777777" w:rsidR="00555B2B" w:rsidRDefault="0058077A">
      <w:pPr>
        <w:widowControl w:val="0"/>
        <w:numPr>
          <w:ilvl w:val="0"/>
          <w:numId w:val="4"/>
        </w:numPr>
        <w:spacing w:beforeAutospacing="1" w:afterAutospacing="1"/>
        <w:rPr>
          <w:rFonts w:cs="Arial"/>
        </w:rPr>
      </w:pPr>
      <w:r w:rsidRPr="167D521D">
        <w:rPr>
          <w:rFonts w:cs="Arial"/>
        </w:rPr>
        <w:t>attendance to fair housing training provided and sponsored by the United States Department of Housing and Urban Development (HUD),</w:t>
      </w:r>
    </w:p>
    <w:p w14:paraId="521DCAED" w14:textId="77777777" w:rsidR="00555B2B" w:rsidRDefault="0058077A">
      <w:pPr>
        <w:widowControl w:val="0"/>
        <w:numPr>
          <w:ilvl w:val="0"/>
          <w:numId w:val="4"/>
        </w:numPr>
        <w:spacing w:beforeAutospacing="1" w:afterAutospacing="1"/>
        <w:rPr>
          <w:rFonts w:cs="Arial"/>
        </w:rPr>
      </w:pPr>
      <w:r w:rsidRPr="167D521D">
        <w:rPr>
          <w:rFonts w:cs="Arial"/>
        </w:rPr>
        <w:t>providing more education and information to all persons, and</w:t>
      </w:r>
    </w:p>
    <w:p w14:paraId="5BFECE52" w14:textId="77777777" w:rsidR="00555B2B" w:rsidRDefault="0058077A">
      <w:pPr>
        <w:widowControl w:val="0"/>
        <w:numPr>
          <w:ilvl w:val="0"/>
          <w:numId w:val="4"/>
        </w:numPr>
        <w:spacing w:beforeAutospacing="1" w:afterAutospacing="1"/>
        <w:rPr>
          <w:rFonts w:cs="Arial"/>
        </w:rPr>
      </w:pPr>
      <w:r w:rsidRPr="167D521D">
        <w:rPr>
          <w:rFonts w:cs="Arial"/>
        </w:rPr>
        <w:t>working closely with organizations focusing on fair housing. </w:t>
      </w:r>
    </w:p>
    <w:p w14:paraId="593E1307" w14:textId="32712881" w:rsidR="00555B2B" w:rsidRDefault="006E1799" w:rsidP="0AF71021">
      <w:pPr>
        <w:widowControl w:val="0"/>
        <w:spacing w:beforeAutospacing="1" w:afterAutospacing="1"/>
        <w:rPr>
          <w:rFonts w:cs="Arial"/>
        </w:rPr>
      </w:pPr>
      <w:hyperlink r:id="rId10" w:history="1">
        <w:r w:rsidR="0058077A" w:rsidRPr="0AF71021">
          <w:rPr>
            <w:rStyle w:val="Hyperlink"/>
            <w:rFonts w:cs="Arial"/>
          </w:rPr>
          <w:t>www.WacoHousingSearch.org</w:t>
        </w:r>
      </w:hyperlink>
      <w:r w:rsidR="0058077A">
        <w:rPr>
          <w:rFonts w:cs="Arial"/>
        </w:rPr>
        <w:t xml:space="preserve"> utilizes user-friendly housing search capabilities and contains useful information including tenant education brochures, rental affordability calculators, and links to other helpful sites. Funding for website hosting was provided by the City of Waco and community partners.</w:t>
      </w:r>
    </w:p>
    <w:p w14:paraId="3D6CDB52" w14:textId="77777777" w:rsidR="00555B2B" w:rsidRDefault="0058077A">
      <w:pPr>
        <w:widowControl w:val="0"/>
        <w:spacing w:beforeAutospacing="1" w:afterAutospacing="1"/>
        <w:rPr>
          <w:rFonts w:cs="Arial"/>
        </w:rPr>
      </w:pPr>
      <w:r>
        <w:rPr>
          <w:rFonts w:cs="Arial"/>
        </w:rPr>
        <w:t>The City passed the "Credit Access Businesses Regulation" (also known as payday lenders) ordinance regulating payday lenders regarding predatory lending. The purpose of the Ordinance is to protect the welfare of the residents of the city by monitoring credit access businesses in an effort to reduce abusive and predatory lending practices. The article establishes a registration program for credit access businesses, imposes restrictions on extensions of consumer credit made by credit access businesses, and imposes recordkeeping requirements on credit access businesses. As an alternative, the City of Waco and Waco ISD have lending programs. </w:t>
      </w:r>
    </w:p>
    <w:p w14:paraId="1426A239" w14:textId="77777777" w:rsidR="00555B2B" w:rsidRDefault="0058077A">
      <w:pPr>
        <w:pStyle w:val="Heading2"/>
        <w:pageBreakBefore/>
        <w:widowControl w:val="0"/>
        <w:rPr>
          <w:rFonts w:ascii="Calibri" w:hAnsi="Calibri"/>
          <w:i w:val="0"/>
        </w:rPr>
      </w:pPr>
      <w:r>
        <w:rPr>
          <w:rFonts w:ascii="Calibri" w:hAnsi="Calibri"/>
          <w:i w:val="0"/>
        </w:rPr>
        <w:t>CR-40 - Monitoring 91.220 and 91.230</w:t>
      </w:r>
    </w:p>
    <w:p w14:paraId="4EFA143A" w14:textId="5785DA3E" w:rsidR="00555B2B" w:rsidRDefault="0058077A">
      <w:pPr>
        <w:widowControl w:val="0"/>
        <w:rPr>
          <w:rFonts w:cs="Arial"/>
        </w:rPr>
      </w:pPr>
      <w:r>
        <w:rPr>
          <w:b/>
          <w:sz w:val="24"/>
          <w:szCs w:val="24"/>
        </w:rPr>
        <w:t xml:space="preserve">Describe the standards and procedures used to monitor activities carried out in furtherance of the plan and used to ensure long-term compliance with requirements of the programs involved, including minority business outreach and the comprehensive planning </w:t>
      </w:r>
      <w:r w:rsidR="00066316">
        <w:rPr>
          <w:b/>
          <w:sz w:val="24"/>
          <w:szCs w:val="24"/>
        </w:rPr>
        <w:t>requirements.</w:t>
      </w:r>
    </w:p>
    <w:p w14:paraId="6AE6E456" w14:textId="77777777" w:rsidR="00555B2B" w:rsidRDefault="00555B2B">
      <w:pPr>
        <w:widowControl w:val="0"/>
        <w:rPr>
          <w:rFonts w:cs="Arial"/>
        </w:rPr>
      </w:pPr>
    </w:p>
    <w:p w14:paraId="36D2AD54" w14:textId="7C673B28" w:rsidR="00555B2B" w:rsidRDefault="0058077A">
      <w:pPr>
        <w:widowControl w:val="0"/>
        <w:spacing w:beforeAutospacing="1" w:afterAutospacing="1"/>
        <w:rPr>
          <w:rFonts w:cs="Arial"/>
        </w:rPr>
      </w:pPr>
      <w:r>
        <w:rPr>
          <w:rFonts w:cs="Arial"/>
        </w:rPr>
        <w:t>The City of Waco provided effective monitoring of all HOME and CDBG funded organizations, projects, and activities to ensure compliance with city, state, and federal regulations, policies, and contracts. Monitoring focused on the following areas:</w:t>
      </w:r>
    </w:p>
    <w:p w14:paraId="4B50538B" w14:textId="715AC563" w:rsidR="00555B2B" w:rsidRDefault="0058077A">
      <w:pPr>
        <w:widowControl w:val="0"/>
        <w:spacing w:beforeAutospacing="1" w:afterAutospacing="1"/>
        <w:rPr>
          <w:rFonts w:cs="Arial"/>
        </w:rPr>
      </w:pPr>
      <w:r>
        <w:rPr>
          <w:rFonts w:cs="Arial"/>
        </w:rPr>
        <w:t xml:space="preserve">1) </w:t>
      </w:r>
      <w:r>
        <w:rPr>
          <w:rFonts w:cs="Arial"/>
          <w:u w:val="single"/>
        </w:rPr>
        <w:t>Financial</w:t>
      </w:r>
      <w:r>
        <w:rPr>
          <w:rFonts w:cs="Arial"/>
        </w:rPr>
        <w:t xml:space="preserve"> – Staff reviewed requests for expenditures to ensure that all funded requests are for authorized activities on approved projects. Activity agreements, expense documentation, and beneficiary reports must be provided for funds to be expended. As part of the contract agreement, each subrecipient that receives any CDBG or HOME funding (including CHDOs) must submit either an independent audit or financial review to ensure fiscal accountability.</w:t>
      </w:r>
    </w:p>
    <w:p w14:paraId="63A1E824" w14:textId="3EC67BA2" w:rsidR="00555B2B" w:rsidRDefault="0058077A" w:rsidP="0AF71021">
      <w:pPr>
        <w:widowControl w:val="0"/>
        <w:spacing w:beforeAutospacing="1" w:afterAutospacing="1"/>
        <w:rPr>
          <w:rFonts w:cs="Arial"/>
        </w:rPr>
      </w:pPr>
      <w:r w:rsidRPr="0AF71021">
        <w:rPr>
          <w:rFonts w:cs="Arial"/>
        </w:rPr>
        <w:t xml:space="preserve">2) </w:t>
      </w:r>
      <w:r w:rsidRPr="0AF71021">
        <w:rPr>
          <w:rFonts w:cs="Arial"/>
          <w:u w:val="single"/>
        </w:rPr>
        <w:t>Environmental</w:t>
      </w:r>
      <w:r w:rsidRPr="0AF71021">
        <w:rPr>
          <w:rFonts w:cs="Arial"/>
        </w:rPr>
        <w:t xml:space="preserve"> – All projects and individual activities requiring environmental reviews per HUD regulations</w:t>
      </w:r>
      <w:r w:rsidR="5C452AD0" w:rsidRPr="0AF71021">
        <w:rPr>
          <w:rFonts w:cs="Arial"/>
        </w:rPr>
        <w:t xml:space="preserve"> </w:t>
      </w:r>
      <w:r w:rsidRPr="0AF71021">
        <w:rPr>
          <w:rFonts w:cs="Arial"/>
        </w:rPr>
        <w:t>were reviewed for clearance prior to funding approval. The review was completed by staff, with the assistance of other departments and outside consultations as needed. Remediations of impact were implemented where required. Projects or activities unable to meet environmental requirements were reviewed to determine alternative acceptable solutions, and if no alternatives are identified, the project was not funded with federal funds.</w:t>
      </w:r>
    </w:p>
    <w:p w14:paraId="55539574" w14:textId="1020E0F6" w:rsidR="00555B2B" w:rsidRDefault="0058077A" w:rsidP="0AF71021">
      <w:pPr>
        <w:widowControl w:val="0"/>
        <w:spacing w:beforeAutospacing="1" w:afterAutospacing="1"/>
        <w:rPr>
          <w:rFonts w:cs="Arial"/>
        </w:rPr>
      </w:pPr>
      <w:r w:rsidRPr="0AF71021">
        <w:rPr>
          <w:rFonts w:cs="Arial"/>
        </w:rPr>
        <w:t xml:space="preserve">3) </w:t>
      </w:r>
      <w:r w:rsidRPr="0AF71021">
        <w:rPr>
          <w:rFonts w:cs="Arial"/>
          <w:u w:val="single"/>
        </w:rPr>
        <w:t>Programmatic</w:t>
      </w:r>
      <w:r w:rsidRPr="0AF71021">
        <w:rPr>
          <w:rFonts w:cs="Arial"/>
        </w:rPr>
        <w:t xml:space="preserve"> – Measurable results or accomplishments are expected on all funded projects and</w:t>
      </w:r>
      <w:r w:rsidR="5C452AD0" w:rsidRPr="0AF71021">
        <w:rPr>
          <w:rFonts w:cs="Arial"/>
        </w:rPr>
        <w:t xml:space="preserve"> </w:t>
      </w:r>
      <w:r w:rsidRPr="0AF71021">
        <w:rPr>
          <w:rFonts w:cs="Arial"/>
        </w:rPr>
        <w:t>are evaluated through the monitoring process. Progress toward project goals was reviewed on a monthly or quarterly basis. The City’s reimbursement of funds for project expenditures is directly correlated with the reporting of accomplishments.</w:t>
      </w:r>
    </w:p>
    <w:p w14:paraId="02995DF5" w14:textId="11056265" w:rsidR="00555B2B" w:rsidRDefault="0058077A" w:rsidP="0AF71021">
      <w:pPr>
        <w:widowControl w:val="0"/>
        <w:spacing w:beforeAutospacing="1" w:afterAutospacing="1"/>
        <w:rPr>
          <w:rFonts w:cs="Arial"/>
        </w:rPr>
      </w:pPr>
      <w:r w:rsidRPr="0AF71021">
        <w:rPr>
          <w:rFonts w:cs="Arial"/>
        </w:rPr>
        <w:t xml:space="preserve">4) </w:t>
      </w:r>
      <w:r w:rsidRPr="0AF71021">
        <w:rPr>
          <w:rFonts w:cs="Arial"/>
          <w:u w:val="single"/>
        </w:rPr>
        <w:t>Subrecipient &amp; CHDO Monitoring</w:t>
      </w:r>
      <w:r w:rsidRPr="0AF71021">
        <w:rPr>
          <w:rFonts w:cs="Arial"/>
        </w:rPr>
        <w:t xml:space="preserve"> </w:t>
      </w:r>
      <w:r w:rsidR="5C452AD0" w:rsidRPr="0AF71021">
        <w:rPr>
          <w:rFonts w:cs="Arial"/>
        </w:rPr>
        <w:t>–</w:t>
      </w:r>
      <w:r w:rsidRPr="0AF71021">
        <w:rPr>
          <w:rFonts w:cs="Arial"/>
        </w:rPr>
        <w:t xml:space="preserve"> Agencies</w:t>
      </w:r>
      <w:r w:rsidR="5C452AD0" w:rsidRPr="0AF71021">
        <w:rPr>
          <w:rFonts w:cs="Arial"/>
        </w:rPr>
        <w:t xml:space="preserve"> </w:t>
      </w:r>
      <w:r w:rsidRPr="0AF71021">
        <w:rPr>
          <w:rFonts w:cs="Arial"/>
        </w:rPr>
        <w:t>receiving</w:t>
      </w:r>
      <w:r w:rsidR="5C452AD0" w:rsidRPr="0AF71021">
        <w:rPr>
          <w:rFonts w:cs="Arial"/>
        </w:rPr>
        <w:t xml:space="preserve"> </w:t>
      </w:r>
      <w:r w:rsidRPr="0AF71021">
        <w:rPr>
          <w:rFonts w:cs="Arial"/>
        </w:rPr>
        <w:t>City CDBG, HOME, or CHDO funds</w:t>
      </w:r>
      <w:r w:rsidR="5C452AD0" w:rsidRPr="0AF71021">
        <w:rPr>
          <w:rFonts w:cs="Arial"/>
        </w:rPr>
        <w:t xml:space="preserve"> </w:t>
      </w:r>
      <w:r w:rsidRPr="0AF71021">
        <w:rPr>
          <w:rFonts w:cs="Arial"/>
        </w:rPr>
        <w:t>enter a contract which describes funding amount, services provided, time frame for providing services, compliance responsibilities, reimbursement procedures, and reporting requirements. Each agency</w:t>
      </w:r>
      <w:r w:rsidR="5C452AD0" w:rsidRPr="0AF71021">
        <w:rPr>
          <w:rFonts w:cs="Arial"/>
        </w:rPr>
        <w:t xml:space="preserve"> </w:t>
      </w:r>
      <w:r w:rsidRPr="0AF71021">
        <w:rPr>
          <w:rFonts w:cs="Arial"/>
        </w:rPr>
        <w:t>must submit performance reports, containing beneficiary information, such as the number, race, and income level of persons assisted. Each</w:t>
      </w:r>
      <w:r w:rsidR="5C452AD0" w:rsidRPr="0AF71021">
        <w:rPr>
          <w:rFonts w:cs="Arial"/>
        </w:rPr>
        <w:t xml:space="preserve"> </w:t>
      </w:r>
      <w:r w:rsidRPr="0AF71021">
        <w:rPr>
          <w:rFonts w:cs="Arial"/>
        </w:rPr>
        <w:t>agency</w:t>
      </w:r>
      <w:r w:rsidR="5C452AD0" w:rsidRPr="0AF71021">
        <w:rPr>
          <w:rFonts w:cs="Arial"/>
        </w:rPr>
        <w:t xml:space="preserve"> </w:t>
      </w:r>
      <w:r w:rsidRPr="0AF71021">
        <w:rPr>
          <w:rFonts w:cs="Arial"/>
        </w:rPr>
        <w:t>is monitored a minimum of once annually for each program year, with all organizations receiving a desk review as needed and at least one site visit.</w:t>
      </w:r>
      <w:r w:rsidR="471927CA" w:rsidRPr="0AF71021">
        <w:rPr>
          <w:rFonts w:cs="Arial"/>
        </w:rPr>
        <w:t xml:space="preserve"> </w:t>
      </w:r>
      <w:r w:rsidRPr="0AF71021">
        <w:rPr>
          <w:rFonts w:cs="Arial"/>
        </w:rPr>
        <w:t>Agencies receiving funds will be closely monitored to ensure the timeliness of expenditures. Technical Assistance and training is provided to subrecipients on an as needed basis.</w:t>
      </w:r>
    </w:p>
    <w:p w14:paraId="50B6392C" w14:textId="77777777" w:rsidR="00555B2B" w:rsidRDefault="0058077A">
      <w:pPr>
        <w:widowControl w:val="0"/>
        <w:spacing w:beforeAutospacing="1" w:afterAutospacing="1"/>
        <w:rPr>
          <w:rFonts w:cs="Arial"/>
        </w:rPr>
      </w:pPr>
      <w:r>
        <w:rPr>
          <w:rFonts w:cs="Arial"/>
        </w:rPr>
        <w:t xml:space="preserve">5) </w:t>
      </w:r>
      <w:r>
        <w:rPr>
          <w:rFonts w:cs="Arial"/>
          <w:u w:val="single"/>
        </w:rPr>
        <w:t>Labor Standards</w:t>
      </w:r>
      <w:r>
        <w:rPr>
          <w:rFonts w:cs="Arial"/>
        </w:rPr>
        <w:t xml:space="preserve"> - Compliance with labor standards on eligible construction sites has been monitored by City staff through on-site interviews and desk reviews of bid documents, payrolls, and reports.</w:t>
      </w:r>
    </w:p>
    <w:p w14:paraId="79BC3D87" w14:textId="77777777" w:rsidR="00555B2B" w:rsidRDefault="0058077A">
      <w:pPr>
        <w:widowControl w:val="0"/>
        <w:spacing w:beforeAutospacing="1" w:afterAutospacing="1"/>
        <w:rPr>
          <w:rFonts w:cs="Arial"/>
        </w:rPr>
      </w:pPr>
      <w:r>
        <w:rPr>
          <w:rFonts w:cs="Arial"/>
        </w:rPr>
        <w:t xml:space="preserve">6) </w:t>
      </w:r>
      <w:r>
        <w:rPr>
          <w:rFonts w:cs="Arial"/>
          <w:u w:val="single"/>
        </w:rPr>
        <w:t>MBE/WBE</w:t>
      </w:r>
      <w:r>
        <w:rPr>
          <w:rFonts w:cs="Arial"/>
        </w:rPr>
        <w:t xml:space="preserve"> - Solicited bids and services from MBE /WBE); Supported maintenance of MBE/WBE directory; Utilized regional certified local and regional W/M/DBEs; Reported W/M/DBE participation to federal funding agencies; Worked with the Purchasing Department to track W/M/DBE participation percentages; and Strengthened ties with the City’s economic development initiatives as needed.</w:t>
      </w:r>
    </w:p>
    <w:p w14:paraId="726F9CB5" w14:textId="12BC6674" w:rsidR="00555B2B" w:rsidRDefault="00555B2B">
      <w:pPr>
        <w:widowControl w:val="0"/>
        <w:rPr>
          <w:rFonts w:cs="Arial"/>
        </w:rPr>
      </w:pPr>
    </w:p>
    <w:p w14:paraId="3EDBBF98" w14:textId="77777777" w:rsidR="00555B2B" w:rsidRDefault="0058077A">
      <w:pPr>
        <w:widowControl w:val="0"/>
        <w:rPr>
          <w:b/>
          <w:sz w:val="24"/>
          <w:szCs w:val="24"/>
        </w:rPr>
      </w:pPr>
      <w:r>
        <w:rPr>
          <w:b/>
          <w:sz w:val="24"/>
          <w:szCs w:val="24"/>
        </w:rPr>
        <w:t>Citizen Participation Plan 91.105(d); 91.115(d)</w:t>
      </w:r>
    </w:p>
    <w:p w14:paraId="0F51FD2B" w14:textId="77777777" w:rsidR="00555B2B" w:rsidRDefault="0058077A">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14:paraId="576A1105" w14:textId="706574A0" w:rsidR="00555B2B" w:rsidRDefault="1DEFB071" w:rsidP="3D87D998">
      <w:pPr>
        <w:spacing w:beforeAutospacing="1" w:afterAutospacing="1"/>
      </w:pPr>
      <w:r>
        <w:t>The proposed PY 202</w:t>
      </w:r>
      <w:r w:rsidR="0FA095C7">
        <w:t>2</w:t>
      </w:r>
      <w:r>
        <w:t xml:space="preserve"> Consolidated Annual Performance and Evaluation Report</w:t>
      </w:r>
      <w:r w:rsidR="0FA095C7">
        <w:t xml:space="preserve"> </w:t>
      </w:r>
      <w:r>
        <w:t>was advertised as a</w:t>
      </w:r>
      <w:r w:rsidR="0FA095C7">
        <w:t xml:space="preserve"> </w:t>
      </w:r>
      <w:r>
        <w:t xml:space="preserve">Public Notice on December </w:t>
      </w:r>
      <w:r w:rsidR="0FA095C7">
        <w:t>5</w:t>
      </w:r>
      <w:r>
        <w:t>, 202</w:t>
      </w:r>
      <w:r w:rsidR="0FA095C7">
        <w:t>3</w:t>
      </w:r>
      <w:r>
        <w:t>. It was published in the</w:t>
      </w:r>
      <w:r w:rsidR="0FA095C7">
        <w:t xml:space="preserve"> </w:t>
      </w:r>
      <w:r>
        <w:t xml:space="preserve">local </w:t>
      </w:r>
      <w:r w:rsidRPr="006251E8">
        <w:rPr>
          <w:i/>
          <w:iCs/>
        </w:rPr>
        <w:t>Waco Tribune</w:t>
      </w:r>
      <w:r w:rsidR="0FA095C7" w:rsidRPr="006251E8">
        <w:rPr>
          <w:i/>
          <w:iCs/>
        </w:rPr>
        <w:t>-Herald</w:t>
      </w:r>
      <w:r>
        <w:t xml:space="preserve"> newspaper.</w:t>
      </w:r>
      <w:r w:rsidR="000C346A">
        <w:t xml:space="preserve"> A public hearing is scheduled to take place during the December 19, 2023</w:t>
      </w:r>
      <w:r w:rsidR="009942B9">
        <w:t>,</w:t>
      </w:r>
      <w:r w:rsidR="000C346A">
        <w:t xml:space="preserve"> regular meeting of Waco City Council.  The details of that meeting are provided in the Public Notice.</w:t>
      </w:r>
      <w:r>
        <w:t xml:space="preserve"> The draft report </w:t>
      </w:r>
      <w:r w:rsidR="009942B9">
        <w:t>is</w:t>
      </w:r>
      <w:r>
        <w:t xml:space="preserve"> available for viewing from December </w:t>
      </w:r>
      <w:r w:rsidR="000C346A">
        <w:t>7</w:t>
      </w:r>
      <w:r>
        <w:t xml:space="preserve">th </w:t>
      </w:r>
      <w:r w:rsidR="00066316">
        <w:t>through</w:t>
      </w:r>
      <w:r>
        <w:t xml:space="preserve"> December </w:t>
      </w:r>
      <w:r w:rsidR="0FA095C7">
        <w:t>21</w:t>
      </w:r>
      <w:r w:rsidR="38F52BF3">
        <w:t>st</w:t>
      </w:r>
      <w:r>
        <w:t xml:space="preserve">, at the City of Waco's Housing and Community Development Department, City Secretary's Office, and Waco-McLennan County Library locations between the hours of 8am to 5pm. It was also uploaded to the City's website. </w:t>
      </w:r>
    </w:p>
    <w:p w14:paraId="1B1BC1B6" w14:textId="77777777" w:rsidR="00555B2B" w:rsidRDefault="0058077A">
      <w:pPr>
        <w:keepNext/>
        <w:pageBreakBefore/>
        <w:widowControl w:val="0"/>
        <w:spacing w:before="240" w:after="60"/>
        <w:outlineLvl w:val="1"/>
        <w:rPr>
          <w:rFonts w:cs="Arial"/>
          <w:b/>
          <w:bCs/>
          <w:iCs/>
          <w:sz w:val="28"/>
          <w:szCs w:val="28"/>
        </w:rPr>
      </w:pPr>
      <w:r>
        <w:rPr>
          <w:rFonts w:cs="Arial"/>
          <w:b/>
          <w:bCs/>
          <w:iCs/>
          <w:sz w:val="28"/>
          <w:szCs w:val="28"/>
        </w:rPr>
        <w:t>CR-45 - CDBG 91.520(c)</w:t>
      </w:r>
    </w:p>
    <w:p w14:paraId="12E3353E" w14:textId="77777777" w:rsidR="00555B2B" w:rsidRDefault="0058077A">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14:paraId="6D98D2FD" w14:textId="3D60A924" w:rsidR="1DEFB071" w:rsidRDefault="1DEFB071" w:rsidP="3D87D998">
      <w:pPr>
        <w:widowControl w:val="0"/>
        <w:spacing w:beforeAutospacing="1" w:afterAutospacing="1"/>
        <w:rPr>
          <w:rFonts w:cs="Arial"/>
        </w:rPr>
      </w:pPr>
      <w:r w:rsidRPr="3D87D998">
        <w:rPr>
          <w:rFonts w:cs="Arial"/>
        </w:rPr>
        <w:t>The City has reviewed all housing programs with the City Council to evaluate whether they are in congruence with the City's Goals, the Prosper Waco goals, and addressing the community needs of reducing poverty and increasing affordable housing options.</w:t>
      </w:r>
    </w:p>
    <w:p w14:paraId="74540457" w14:textId="7E018BDE" w:rsidR="3D87D998" w:rsidRDefault="3D87D998" w:rsidP="3D87D998">
      <w:pPr>
        <w:widowControl w:val="0"/>
        <w:spacing w:beforeAutospacing="1" w:afterAutospacing="1"/>
        <w:rPr>
          <w:rFonts w:cs="Arial"/>
        </w:rPr>
      </w:pPr>
    </w:p>
    <w:p w14:paraId="53B6AF7F" w14:textId="0E52F78A" w:rsidR="00555B2B" w:rsidRDefault="0058077A" w:rsidP="0AF71021">
      <w:pPr>
        <w:widowControl w:val="0"/>
        <w:spacing w:beforeAutospacing="1" w:afterAutospacing="1"/>
        <w:rPr>
          <w:rFonts w:cs="Arial"/>
        </w:rPr>
      </w:pPr>
      <w:r w:rsidRPr="0AF71021">
        <w:rPr>
          <w:rFonts w:cs="Arial"/>
        </w:rPr>
        <w:t>The City currently does not have any changes to its program however the City Council</w:t>
      </w:r>
      <w:r w:rsidR="217A02B3" w:rsidRPr="0AF71021">
        <w:rPr>
          <w:rFonts w:cs="Arial"/>
        </w:rPr>
        <w:t xml:space="preserve"> </w:t>
      </w:r>
      <w:r w:rsidRPr="0AF71021">
        <w:rPr>
          <w:rFonts w:cs="Arial"/>
        </w:rPr>
        <w:t xml:space="preserve">continues to review </w:t>
      </w:r>
      <w:proofErr w:type="gramStart"/>
      <w:r w:rsidRPr="0AF71021">
        <w:rPr>
          <w:rFonts w:cs="Arial"/>
        </w:rPr>
        <w:t>all of</w:t>
      </w:r>
      <w:proofErr w:type="gramEnd"/>
      <w:r w:rsidRPr="0AF71021">
        <w:rPr>
          <w:rFonts w:cs="Arial"/>
        </w:rPr>
        <w:t xml:space="preserve"> the programs to make sure we are meeting the needs.</w:t>
      </w:r>
    </w:p>
    <w:p w14:paraId="22778F81" w14:textId="77777777" w:rsidR="00555B2B" w:rsidRDefault="0058077A">
      <w:pPr>
        <w:widowControl w:val="0"/>
        <w:rPr>
          <w:b/>
          <w:sz w:val="24"/>
          <w:szCs w:val="24"/>
        </w:rPr>
      </w:pPr>
      <w:r>
        <w:rPr>
          <w:b/>
          <w:sz w:val="24"/>
          <w:szCs w:val="24"/>
        </w:rPr>
        <w:t>Does this Jurisdiction have any open Brownfields Economic Development Initiative (BEDI) grants?</w:t>
      </w:r>
    </w:p>
    <w:p w14:paraId="5FC8FEB6" w14:textId="77777777" w:rsidR="00555B2B" w:rsidRDefault="0058077A">
      <w:pPr>
        <w:widowControl w:val="0"/>
        <w:spacing w:beforeAutospacing="1" w:afterAutospacing="1"/>
        <w:rPr>
          <w:rFonts w:cs="Arial"/>
        </w:rPr>
      </w:pPr>
      <w:r>
        <w:rPr>
          <w:rFonts w:cs="Arial"/>
        </w:rPr>
        <w:t>No</w:t>
      </w:r>
    </w:p>
    <w:p w14:paraId="3CE06475" w14:textId="77777777" w:rsidR="00555B2B" w:rsidRDefault="0058077A">
      <w:pPr>
        <w:widowControl w:val="0"/>
        <w:rPr>
          <w:b/>
          <w:sz w:val="24"/>
          <w:szCs w:val="24"/>
        </w:rPr>
      </w:pPr>
      <w:r>
        <w:rPr>
          <w:b/>
          <w:sz w:val="24"/>
          <w:szCs w:val="24"/>
        </w:rPr>
        <w:t>[BEDI grantees]  Describe accomplishments and program outcomes during the last year.</w:t>
      </w:r>
    </w:p>
    <w:p w14:paraId="077ABC44" w14:textId="77777777" w:rsidR="00555B2B" w:rsidRDefault="00555B2B">
      <w:pPr>
        <w:widowControl w:val="0"/>
        <w:rPr>
          <w:rFonts w:cs="Arial"/>
        </w:rPr>
      </w:pPr>
    </w:p>
    <w:p w14:paraId="0A95356D" w14:textId="77777777" w:rsidR="00555B2B" w:rsidRDefault="00555B2B"/>
    <w:p w14:paraId="192F5D55" w14:textId="77777777" w:rsidR="00555B2B" w:rsidRDefault="00555B2B"/>
    <w:p w14:paraId="491C4B56" w14:textId="77777777" w:rsidR="00555B2B" w:rsidRDefault="0058077A">
      <w:pPr>
        <w:pStyle w:val="Heading2"/>
        <w:pageBreakBefore/>
        <w:widowControl w:val="0"/>
        <w:rPr>
          <w:rFonts w:ascii="Calibri" w:hAnsi="Calibri"/>
          <w:i w:val="0"/>
        </w:rPr>
      </w:pPr>
      <w:r>
        <w:rPr>
          <w:rFonts w:ascii="Calibri" w:hAnsi="Calibri"/>
          <w:i w:val="0"/>
        </w:rPr>
        <w:t>CR-50 - HOME 24 CFR 91.520(d)</w:t>
      </w:r>
    </w:p>
    <w:p w14:paraId="5D830AB1" w14:textId="77777777" w:rsidR="00555B2B" w:rsidRDefault="0058077A">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14:paraId="6A62A8E9" w14:textId="1FEF2CCC" w:rsidR="00F55B7F" w:rsidRDefault="0058077A">
      <w:pPr>
        <w:widowControl w:val="0"/>
        <w:rPr>
          <w:sz w:val="24"/>
          <w:szCs w:val="24"/>
        </w:rPr>
      </w:pPr>
      <w:r w:rsidRPr="006251E8">
        <w:rPr>
          <w:i/>
          <w:iCs/>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14:paraId="3D549BDF" w14:textId="6A0A3AA7" w:rsidR="00555B2B" w:rsidRDefault="0058077A">
      <w:pPr>
        <w:widowControl w:val="0"/>
        <w:spacing w:beforeAutospacing="1" w:afterAutospacing="1"/>
        <w:rPr>
          <w:rFonts w:cs="Arial"/>
        </w:rPr>
      </w:pPr>
      <w:r>
        <w:rPr>
          <w:rFonts w:cs="Arial"/>
        </w:rPr>
        <w:t xml:space="preserve">The following </w:t>
      </w:r>
      <w:r w:rsidRPr="49E5A219">
        <w:rPr>
          <w:rFonts w:cs="Arial"/>
        </w:rPr>
        <w:t>three units</w:t>
      </w:r>
      <w:r>
        <w:rPr>
          <w:rFonts w:cs="Arial"/>
        </w:rPr>
        <w:t xml:space="preserve"> were inspected</w:t>
      </w:r>
      <w:r w:rsidR="006D5878">
        <w:rPr>
          <w:rFonts w:cs="Arial"/>
        </w:rPr>
        <w:t xml:space="preserve"> and passed the city’s compliance review inspection. Each received homebuyer</w:t>
      </w:r>
      <w:r>
        <w:rPr>
          <w:rFonts w:cs="Arial"/>
        </w:rPr>
        <w:t xml:space="preserve"> down payment assistance.</w:t>
      </w:r>
    </w:p>
    <w:p w14:paraId="71EC9712" w14:textId="43739DFC" w:rsidR="00555B2B" w:rsidRDefault="15B68AD1" w:rsidP="0AF71021">
      <w:pPr>
        <w:numPr>
          <w:ilvl w:val="0"/>
          <w:numId w:val="18"/>
        </w:numPr>
        <w:spacing w:beforeAutospacing="1" w:afterAutospacing="1"/>
      </w:pPr>
      <w:r w:rsidRPr="0AF71021">
        <w:rPr>
          <w:rFonts w:cs="Arial"/>
        </w:rPr>
        <w:t>1212 Payne</w:t>
      </w:r>
      <w:r w:rsidR="62D747AF" w:rsidRPr="0AF71021">
        <w:rPr>
          <w:rFonts w:cs="Arial"/>
        </w:rPr>
        <w:t xml:space="preserve"> St, Waco, TX  76704</w:t>
      </w:r>
    </w:p>
    <w:p w14:paraId="0070041D" w14:textId="748A297A" w:rsidR="007F4D10" w:rsidRDefault="15B68AD1">
      <w:pPr>
        <w:numPr>
          <w:ilvl w:val="0"/>
          <w:numId w:val="18"/>
        </w:numPr>
        <w:spacing w:beforeAutospacing="1" w:afterAutospacing="1"/>
      </w:pPr>
      <w:r w:rsidRPr="0AF71021">
        <w:rPr>
          <w:rFonts w:cs="Arial"/>
        </w:rPr>
        <w:t>1803 Seneca</w:t>
      </w:r>
      <w:r w:rsidR="2005DF54" w:rsidRPr="0AF71021">
        <w:rPr>
          <w:rFonts w:cs="Arial"/>
        </w:rPr>
        <w:t xml:space="preserve"> Ave, Waco, TX  76707</w:t>
      </w:r>
    </w:p>
    <w:p w14:paraId="09365E6A" w14:textId="13EBC1D7" w:rsidR="00555B2B" w:rsidRDefault="577B2987" w:rsidP="0AF71021">
      <w:pPr>
        <w:numPr>
          <w:ilvl w:val="0"/>
          <w:numId w:val="18"/>
        </w:numPr>
        <w:spacing w:beforeAutospacing="1" w:afterAutospacing="1"/>
      </w:pPr>
      <w:r w:rsidRPr="189EB430">
        <w:rPr>
          <w:rFonts w:cs="Arial"/>
        </w:rPr>
        <w:t>421 Turner</w:t>
      </w:r>
      <w:r w:rsidR="006D5878">
        <w:rPr>
          <w:rFonts w:cs="Arial"/>
        </w:rPr>
        <w:t xml:space="preserve"> St., TX  76740</w:t>
      </w:r>
    </w:p>
    <w:p w14:paraId="05D0C774" w14:textId="580F097F" w:rsidR="00555B2B" w:rsidRDefault="0058077A" w:rsidP="0AF71021">
      <w:pPr>
        <w:widowControl w:val="0"/>
        <w:spacing w:beforeAutospacing="1" w:afterAutospacing="1"/>
        <w:rPr>
          <w:rFonts w:cs="Arial"/>
        </w:rPr>
      </w:pPr>
      <w:r w:rsidRPr="0AF71021">
        <w:rPr>
          <w:rFonts w:cs="Arial"/>
        </w:rPr>
        <w:t>Heart of Texas Regional Mental Health Mental Retardation</w:t>
      </w:r>
      <w:r w:rsidR="00CB7EC6">
        <w:rPr>
          <w:rFonts w:cs="Arial"/>
        </w:rPr>
        <w:t>, d/b/a Behavior Health Network provides HOME-funded Tenant Based Rental Assistance.</w:t>
      </w:r>
      <w:r w:rsidRPr="0AF71021">
        <w:rPr>
          <w:rFonts w:cs="Arial"/>
        </w:rPr>
        <w:t xml:space="preserve"> Each unit is inspected and any deficiencies noted must be corrected before clients sign a lease agreement. As clients enter the program or are re-certified, inspections are done throughout the year. Thirty-</w:t>
      </w:r>
      <w:r w:rsidR="0E7FE068" w:rsidRPr="0AF71021">
        <w:rPr>
          <w:rFonts w:cs="Arial"/>
        </w:rPr>
        <w:t xml:space="preserve">eight </w:t>
      </w:r>
      <w:r w:rsidRPr="0AF71021">
        <w:rPr>
          <w:rFonts w:cs="Arial"/>
        </w:rPr>
        <w:t>(3</w:t>
      </w:r>
      <w:r w:rsidR="0E7FE068" w:rsidRPr="0AF71021">
        <w:rPr>
          <w:rFonts w:cs="Arial"/>
        </w:rPr>
        <w:t>8</w:t>
      </w:r>
      <w:r w:rsidRPr="0AF71021">
        <w:rPr>
          <w:rFonts w:cs="Arial"/>
        </w:rPr>
        <w:t>) units were inspected during the program year—no deficiencies to be reported in the Housing Quality Standards (HQS) Inspection Form.</w:t>
      </w:r>
    </w:p>
    <w:p w14:paraId="3580506F" w14:textId="77777777" w:rsidR="00555B2B" w:rsidRDefault="0058077A">
      <w:pPr>
        <w:widowControl w:val="0"/>
        <w:rPr>
          <w:b/>
          <w:sz w:val="24"/>
          <w:szCs w:val="24"/>
        </w:rPr>
      </w:pPr>
      <w:r>
        <w:rPr>
          <w:b/>
          <w:sz w:val="24"/>
          <w:szCs w:val="24"/>
        </w:rPr>
        <w:t>Provide an assessment of the jurisdiction's affirmative marketing actions for HOME units. 24 CFR 91.520(e) and 24 CFR 92.351(a)</w:t>
      </w:r>
    </w:p>
    <w:p w14:paraId="169A7B02" w14:textId="4B353EE9" w:rsidR="00555B2B" w:rsidRDefault="0058077A">
      <w:pPr>
        <w:widowControl w:val="0"/>
        <w:spacing w:beforeAutospacing="1" w:afterAutospacing="1"/>
        <w:rPr>
          <w:rFonts w:cs="Arial"/>
        </w:rPr>
      </w:pPr>
      <w:r>
        <w:rPr>
          <w:rFonts w:cs="Arial"/>
        </w:rPr>
        <w:t>The City continues to market all housing programs to all persons in the community through the City website and advertisements and programming on the City’s public television station</w:t>
      </w:r>
      <w:r w:rsidR="00CB7EC6">
        <w:rPr>
          <w:rFonts w:cs="Arial"/>
        </w:rPr>
        <w:t xml:space="preserve"> and social media platforms such as Facebook, Twitter, YouTube, Instagram.</w:t>
      </w:r>
    </w:p>
    <w:p w14:paraId="3F6DB68C" w14:textId="77777777" w:rsidR="00555B2B" w:rsidRDefault="0058077A">
      <w:pPr>
        <w:widowControl w:val="0"/>
        <w:spacing w:beforeAutospacing="1" w:afterAutospacing="1"/>
        <w:rPr>
          <w:rFonts w:cs="Arial"/>
        </w:rPr>
      </w:pPr>
      <w:r>
        <w:rPr>
          <w:rFonts w:cs="Arial"/>
        </w:rPr>
        <w:t>The City provides brochures in English and Spanish. Also, the City’s CHDOs provide English and Spanish versions of brochures and forms to their clients. </w:t>
      </w:r>
    </w:p>
    <w:p w14:paraId="6F00E2E3" w14:textId="77777777" w:rsidR="00555B2B" w:rsidRDefault="0058077A">
      <w:pPr>
        <w:widowControl w:val="0"/>
        <w:spacing w:beforeAutospacing="1" w:afterAutospacing="1"/>
        <w:rPr>
          <w:rFonts w:cs="Arial"/>
        </w:rPr>
      </w:pPr>
      <w:r>
        <w:rPr>
          <w:rFonts w:cs="Arial"/>
        </w:rPr>
        <w:t>Our CHDO's have affirmative marketing plans for their HOME funded units. We are working with the CHDOs to ensure their marketing outreach is sufficient to promote affordable housing options to those who need assistance.</w:t>
      </w:r>
    </w:p>
    <w:p w14:paraId="100D09FD" w14:textId="77777777" w:rsidR="00555B2B" w:rsidRDefault="0058077A">
      <w:pPr>
        <w:widowControl w:val="0"/>
        <w:rPr>
          <w:b/>
          <w:sz w:val="24"/>
          <w:szCs w:val="24"/>
        </w:rPr>
      </w:pPr>
      <w:r>
        <w:rPr>
          <w:b/>
          <w:sz w:val="24"/>
          <w:szCs w:val="24"/>
        </w:rPr>
        <w:t>Refer to IDIS reports to describe the amount and use of program income for projects, including the number of projects and owner and tenant characteristics</w:t>
      </w:r>
    </w:p>
    <w:p w14:paraId="5F44FB8F" w14:textId="36911EC7" w:rsidR="00555B2B" w:rsidRDefault="1DEFB071" w:rsidP="3D87D998">
      <w:pPr>
        <w:widowControl w:val="0"/>
        <w:spacing w:beforeAutospacing="1" w:afterAutospacing="1"/>
        <w:rPr>
          <w:rFonts w:cs="Arial"/>
        </w:rPr>
      </w:pPr>
      <w:r w:rsidRPr="3D87D998">
        <w:rPr>
          <w:rFonts w:cs="Arial"/>
        </w:rPr>
        <w:t xml:space="preserve">The City </w:t>
      </w:r>
      <w:r w:rsidR="0D803B0E" w:rsidRPr="3D87D998">
        <w:rPr>
          <w:rFonts w:cs="Arial"/>
        </w:rPr>
        <w:t xml:space="preserve">was awarded </w:t>
      </w:r>
      <w:r w:rsidRPr="3D87D998">
        <w:rPr>
          <w:rFonts w:cs="Arial"/>
        </w:rPr>
        <w:t>$7</w:t>
      </w:r>
      <w:r w:rsidR="51F41E70" w:rsidRPr="3D87D998">
        <w:rPr>
          <w:rFonts w:cs="Arial"/>
        </w:rPr>
        <w:t>82,472</w:t>
      </w:r>
      <w:r w:rsidRPr="3D87D998">
        <w:rPr>
          <w:rFonts w:cs="Arial"/>
        </w:rPr>
        <w:t xml:space="preserve"> in HOME funds. The beginning balance for PY 202</w:t>
      </w:r>
      <w:r w:rsidR="0FA095C7" w:rsidRPr="3D87D998">
        <w:rPr>
          <w:rFonts w:cs="Arial"/>
        </w:rPr>
        <w:t>2</w:t>
      </w:r>
      <w:r w:rsidRPr="3D87D998">
        <w:rPr>
          <w:rFonts w:cs="Arial"/>
        </w:rPr>
        <w:t>was $</w:t>
      </w:r>
      <w:r w:rsidR="215B21A8" w:rsidRPr="3D87D998">
        <w:rPr>
          <w:rFonts w:cs="Arial"/>
        </w:rPr>
        <w:t>55,916.44</w:t>
      </w:r>
      <w:r w:rsidRPr="3D87D998">
        <w:rPr>
          <w:rFonts w:cs="Arial"/>
        </w:rPr>
        <w:t>, an additional $</w:t>
      </w:r>
      <w:r w:rsidR="215B21A8" w:rsidRPr="3D87D998">
        <w:rPr>
          <w:rFonts w:cs="Arial"/>
        </w:rPr>
        <w:t>88,705.13</w:t>
      </w:r>
      <w:r w:rsidRPr="3D87D998">
        <w:rPr>
          <w:rFonts w:cs="Arial"/>
        </w:rPr>
        <w:t xml:space="preserve"> was received, $</w:t>
      </w:r>
      <w:r w:rsidR="2BE9F1A3" w:rsidRPr="3D87D998">
        <w:rPr>
          <w:rFonts w:cs="Arial"/>
        </w:rPr>
        <w:t>55,</w:t>
      </w:r>
      <w:r w:rsidR="69E46E4C" w:rsidRPr="3D87D998">
        <w:rPr>
          <w:rFonts w:cs="Arial"/>
        </w:rPr>
        <w:t>916.67</w:t>
      </w:r>
      <w:r w:rsidRPr="3D87D998">
        <w:rPr>
          <w:rFonts w:cs="Arial"/>
        </w:rPr>
        <w:t xml:space="preserve"> was expended and the balance on hand is $</w:t>
      </w:r>
      <w:r w:rsidR="215B21A8" w:rsidRPr="3D87D998">
        <w:rPr>
          <w:rFonts w:cs="Arial"/>
        </w:rPr>
        <w:t>88,705.13.</w:t>
      </w:r>
    </w:p>
    <w:p w14:paraId="7473962E" w14:textId="77777777" w:rsidR="00555B2B" w:rsidRDefault="0058077A">
      <w:pPr>
        <w:widowControl w:val="0"/>
        <w:spacing w:beforeAutospacing="1" w:afterAutospacing="1"/>
        <w:rPr>
          <w:rFonts w:cs="Arial"/>
        </w:rPr>
      </w:pPr>
      <w:r>
        <w:rPr>
          <w:rFonts w:cs="Arial"/>
        </w:rPr>
        <w:t>Projects include:</w:t>
      </w:r>
    </w:p>
    <w:p w14:paraId="11555EDF" w14:textId="4F1AB72B" w:rsidR="00555B2B" w:rsidRDefault="00210DF6" w:rsidP="6D1FA27A">
      <w:pPr>
        <w:widowControl w:val="0"/>
        <w:numPr>
          <w:ilvl w:val="0"/>
          <w:numId w:val="4"/>
        </w:numPr>
        <w:spacing w:beforeAutospacing="1" w:afterAutospacing="1"/>
        <w:rPr>
          <w:rFonts w:cs="Arial"/>
        </w:rPr>
      </w:pPr>
      <w:r>
        <w:rPr>
          <w:rFonts w:cs="Arial"/>
        </w:rPr>
        <w:t xml:space="preserve">Partially funded </w:t>
      </w:r>
      <w:r w:rsidR="00066316">
        <w:rPr>
          <w:rFonts w:cs="Arial"/>
        </w:rPr>
        <w:t>one (</w:t>
      </w:r>
      <w:r>
        <w:rPr>
          <w:rFonts w:cs="Arial"/>
        </w:rPr>
        <w:t>1</w:t>
      </w:r>
      <w:r w:rsidR="0058077A" w:rsidRPr="6D1FA27A">
        <w:rPr>
          <w:rFonts w:cs="Arial"/>
        </w:rPr>
        <w:t>) down payment assistance; and</w:t>
      </w:r>
    </w:p>
    <w:p w14:paraId="132543BE" w14:textId="61FBE630" w:rsidR="00555B2B" w:rsidRDefault="674BB268" w:rsidP="0AF71021">
      <w:pPr>
        <w:widowControl w:val="0"/>
        <w:numPr>
          <w:ilvl w:val="0"/>
          <w:numId w:val="4"/>
        </w:numPr>
        <w:spacing w:beforeAutospacing="1" w:afterAutospacing="1"/>
        <w:rPr>
          <w:rFonts w:cs="Arial"/>
        </w:rPr>
      </w:pPr>
      <w:r w:rsidRPr="167D521D">
        <w:rPr>
          <w:rFonts w:cs="Arial"/>
        </w:rPr>
        <w:t>Partial s</w:t>
      </w:r>
      <w:r w:rsidR="720CAACE" w:rsidRPr="167D521D">
        <w:rPr>
          <w:rFonts w:cs="Arial"/>
        </w:rPr>
        <w:t xml:space="preserve">upport of </w:t>
      </w:r>
      <w:r w:rsidR="7F7F685D" w:rsidRPr="167D521D">
        <w:rPr>
          <w:rFonts w:cs="Arial"/>
        </w:rPr>
        <w:t>tenant based</w:t>
      </w:r>
      <w:r w:rsidR="0058077A" w:rsidRPr="167D521D">
        <w:rPr>
          <w:rFonts w:cs="Arial"/>
        </w:rPr>
        <w:t xml:space="preserve"> rental assistance</w:t>
      </w:r>
      <w:r w:rsidRPr="167D521D">
        <w:rPr>
          <w:rFonts w:cs="Arial"/>
        </w:rPr>
        <w:t xml:space="preserve"> program</w:t>
      </w:r>
      <w:r w:rsidR="0058077A" w:rsidRPr="167D521D">
        <w:rPr>
          <w:rFonts w:cs="Arial"/>
        </w:rPr>
        <w:t xml:space="preserve"> </w:t>
      </w:r>
      <w:r w:rsidRPr="167D521D">
        <w:rPr>
          <w:rFonts w:cs="Arial"/>
        </w:rPr>
        <w:t>that served</w:t>
      </w:r>
      <w:r w:rsidR="5C452AD0" w:rsidRPr="167D521D">
        <w:rPr>
          <w:rFonts w:cs="Arial"/>
        </w:rPr>
        <w:t xml:space="preserve"> </w:t>
      </w:r>
      <w:r w:rsidR="0058077A" w:rsidRPr="167D521D">
        <w:rPr>
          <w:rFonts w:cs="Arial"/>
        </w:rPr>
        <w:t>3</w:t>
      </w:r>
      <w:r w:rsidR="13A1C505" w:rsidRPr="167D521D">
        <w:rPr>
          <w:rFonts w:cs="Arial"/>
        </w:rPr>
        <w:t>8</w:t>
      </w:r>
      <w:r w:rsidR="0058077A" w:rsidRPr="167D521D">
        <w:rPr>
          <w:rFonts w:cs="Arial"/>
        </w:rPr>
        <w:t xml:space="preserve"> </w:t>
      </w:r>
      <w:r w:rsidR="00066316" w:rsidRPr="167D521D">
        <w:rPr>
          <w:rFonts w:cs="Arial"/>
        </w:rPr>
        <w:t>households.</w:t>
      </w:r>
      <w:r w:rsidR="0058077A" w:rsidRPr="167D521D">
        <w:rPr>
          <w:rFonts w:cs="Arial"/>
        </w:rPr>
        <w:t xml:space="preserve"> </w:t>
      </w:r>
    </w:p>
    <w:p w14:paraId="17A48261" w14:textId="77777777" w:rsidR="00555B2B" w:rsidRDefault="0058077A">
      <w:pPr>
        <w:widowControl w:val="0"/>
        <w:spacing w:beforeAutospacing="1" w:afterAutospacing="1"/>
        <w:rPr>
          <w:rFonts w:cs="Arial"/>
        </w:rPr>
      </w:pPr>
      <w:r>
        <w:rPr>
          <w:rFonts w:cs="Arial"/>
        </w:rPr>
        <w:t>Owner and tenant characteristics will be reported in CR-10 and CR-20.</w:t>
      </w:r>
    </w:p>
    <w:p w14:paraId="1D2A791D" w14:textId="77777777" w:rsidR="00555B2B" w:rsidRDefault="0058077A">
      <w:pPr>
        <w:widowControl w:val="0"/>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14:paraId="01751805" w14:textId="0E5E15F2" w:rsidR="00555B2B" w:rsidRDefault="0058077A">
      <w:pPr>
        <w:widowControl w:val="0"/>
        <w:spacing w:beforeAutospacing="1" w:afterAutospacing="1"/>
        <w:rPr>
          <w:rFonts w:cs="Arial"/>
        </w:rPr>
      </w:pPr>
      <w:r>
        <w:rPr>
          <w:rFonts w:cs="Arial"/>
        </w:rPr>
        <w:t>The City’s Homebuyer Assistance program has been successful in placing families into affordable housing, increasing homeownership (first-time homebuyers), and has provided the City with an increased tax base.</w:t>
      </w:r>
    </w:p>
    <w:p w14:paraId="04271A10" w14:textId="4A7C8C07" w:rsidR="00555B2B" w:rsidRDefault="0058077A">
      <w:pPr>
        <w:widowControl w:val="0"/>
        <w:spacing w:beforeAutospacing="1" w:afterAutospacing="1"/>
        <w:rPr>
          <w:rFonts w:cs="Arial"/>
        </w:rPr>
      </w:pPr>
      <w:r>
        <w:rPr>
          <w:rFonts w:cs="Arial"/>
        </w:rPr>
        <w:t>Housing rehabilitation and preservation/reconstruction programs provide for units being rehabilitated/reconstructed.</w:t>
      </w:r>
    </w:p>
    <w:p w14:paraId="6B1F8BA9" w14:textId="2714BB57" w:rsidR="00555B2B" w:rsidRDefault="0058077A">
      <w:pPr>
        <w:widowControl w:val="0"/>
        <w:spacing w:beforeAutospacing="1" w:afterAutospacing="1"/>
        <w:rPr>
          <w:rFonts w:cs="Arial"/>
        </w:rPr>
      </w:pPr>
      <w:r>
        <w:rPr>
          <w:rFonts w:cs="Arial"/>
        </w:rPr>
        <w:t>The City’s Lot Sales and Tax Abatement programs have allowed contractors to build in the inner City at reduced rates due to the waiving of construction-related fees, lien waivers, and the selling of City lots at a discounted price.</w:t>
      </w:r>
    </w:p>
    <w:p w14:paraId="343DD268" w14:textId="77777777" w:rsidR="00555B2B" w:rsidRDefault="0058077A">
      <w:pPr>
        <w:widowControl w:val="0"/>
        <w:spacing w:beforeAutospacing="1" w:afterAutospacing="1"/>
        <w:rPr>
          <w:rFonts w:cs="Arial"/>
        </w:rPr>
      </w:pPr>
      <w:r>
        <w:rPr>
          <w:rFonts w:cs="Arial"/>
        </w:rPr>
        <w:t>By providing incentives for the contractors, they are able to pass the savings on to the buyers, whereby providing safe, decent, attractive homes to low- to moderate-income households.</w:t>
      </w:r>
    </w:p>
    <w:p w14:paraId="42BDABAF" w14:textId="20AD5A06" w:rsidR="00555B2B" w:rsidRDefault="1DEFB071" w:rsidP="3D87D998">
      <w:pPr>
        <w:widowControl w:val="0"/>
        <w:spacing w:beforeAutospacing="1" w:afterAutospacing="1"/>
        <w:rPr>
          <w:rFonts w:cs="Arial"/>
        </w:rPr>
      </w:pPr>
      <w:r w:rsidRPr="3D87D998">
        <w:rPr>
          <w:rFonts w:cs="Arial"/>
        </w:rPr>
        <w:t>The Cit</w:t>
      </w:r>
      <w:r w:rsidR="33165EE5" w:rsidRPr="3D87D998">
        <w:rPr>
          <w:rFonts w:cs="Arial"/>
        </w:rPr>
        <w:t>y’s</w:t>
      </w:r>
      <w:r w:rsidR="0915B9EC" w:rsidRPr="3D87D998">
        <w:rPr>
          <w:rFonts w:cs="Arial"/>
        </w:rPr>
        <w:t xml:space="preserve"> Code of Ordinances allow for the construction </w:t>
      </w:r>
      <w:r w:rsidR="69326B92" w:rsidRPr="3D87D998">
        <w:rPr>
          <w:rFonts w:cs="Arial"/>
        </w:rPr>
        <w:t xml:space="preserve">of single-family dwellings </w:t>
      </w:r>
      <w:r w:rsidR="2642809E" w:rsidRPr="3D87D998">
        <w:rPr>
          <w:rFonts w:cs="Arial"/>
        </w:rPr>
        <w:t>on smaller lots</w:t>
      </w:r>
      <w:r w:rsidR="18846BE5" w:rsidRPr="3D87D998">
        <w:rPr>
          <w:rFonts w:cs="Arial"/>
        </w:rPr>
        <w:t xml:space="preserve"> within </w:t>
      </w:r>
      <w:r w:rsidR="65B87F6F" w:rsidRPr="3D87D998">
        <w:rPr>
          <w:rFonts w:cs="Arial"/>
        </w:rPr>
        <w:t>the Imagine Waco</w:t>
      </w:r>
      <w:r w:rsidR="7E93E66F" w:rsidRPr="3D87D998">
        <w:rPr>
          <w:rFonts w:cs="Arial"/>
        </w:rPr>
        <w:t xml:space="preserve"> downtown plan</w:t>
      </w:r>
      <w:r w:rsidR="09CE05D5" w:rsidRPr="3D87D998">
        <w:rPr>
          <w:rFonts w:cs="Arial"/>
        </w:rPr>
        <w:t xml:space="preserve"> in </w:t>
      </w:r>
      <w:r w:rsidR="5C297BB4" w:rsidRPr="3D87D998">
        <w:rPr>
          <w:rFonts w:cs="Arial"/>
        </w:rPr>
        <w:t xml:space="preserve">certain zoning districts </w:t>
      </w:r>
      <w:r w:rsidR="42A848DC" w:rsidRPr="3D87D998">
        <w:rPr>
          <w:rFonts w:cs="Arial"/>
        </w:rPr>
        <w:t>though the approval of a special use permit by the city council.</w:t>
      </w:r>
      <w:r w:rsidR="3FF729A9" w:rsidRPr="3D87D998">
        <w:rPr>
          <w:rFonts w:cs="Arial"/>
        </w:rPr>
        <w:t xml:space="preserve"> The goal of the </w:t>
      </w:r>
      <w:r w:rsidR="04BEB495" w:rsidRPr="3D87D998">
        <w:rPr>
          <w:rFonts w:cs="Arial"/>
        </w:rPr>
        <w:t xml:space="preserve">special use provision is to allow the redevelopment of infill lots </w:t>
      </w:r>
      <w:r w:rsidR="22ADAEA6" w:rsidRPr="3D87D998">
        <w:rPr>
          <w:rFonts w:cs="Arial"/>
        </w:rPr>
        <w:t>to achieve the following goals: I</w:t>
      </w:r>
      <w:r w:rsidR="0ED73C18" w:rsidRPr="3D87D998">
        <w:rPr>
          <w:rFonts w:cs="Arial"/>
        </w:rPr>
        <w:t>ncrease housing stock by</w:t>
      </w:r>
      <w:r w:rsidR="426642C7" w:rsidRPr="3D87D998">
        <w:rPr>
          <w:rFonts w:cs="Arial"/>
        </w:rPr>
        <w:t xml:space="preserve"> increasing the number of usable parcels for residential use; </w:t>
      </w:r>
      <w:r w:rsidR="60D6A6F5" w:rsidRPr="3D87D998">
        <w:rPr>
          <w:rFonts w:cs="Arial"/>
        </w:rPr>
        <w:t>smaller homes will generally</w:t>
      </w:r>
      <w:r w:rsidR="66B64B37" w:rsidRPr="3D87D998">
        <w:rPr>
          <w:rFonts w:cs="Arial"/>
        </w:rPr>
        <w:t xml:space="preserve"> be </w:t>
      </w:r>
      <w:r w:rsidR="60D6A6F5" w:rsidRPr="3D87D998">
        <w:rPr>
          <w:rFonts w:cs="Arial"/>
        </w:rPr>
        <w:t xml:space="preserve">built and sold at a more affordable price; </w:t>
      </w:r>
      <w:r w:rsidR="7D0839A1" w:rsidRPr="3D87D998">
        <w:rPr>
          <w:rFonts w:cs="Arial"/>
        </w:rPr>
        <w:t xml:space="preserve">use of existing infrastructure will support sustainability goals </w:t>
      </w:r>
      <w:r w:rsidR="7EEB2D5D" w:rsidRPr="3D87D998">
        <w:rPr>
          <w:rFonts w:cs="Arial"/>
        </w:rPr>
        <w:t>by reducing the demand for sprawl</w:t>
      </w:r>
      <w:r w:rsidR="634F7FBE" w:rsidRPr="3D87D998">
        <w:rPr>
          <w:rFonts w:cs="Arial"/>
        </w:rPr>
        <w:t xml:space="preserve"> and focusing housing in and around existing </w:t>
      </w:r>
      <w:r w:rsidR="6670C406" w:rsidRPr="3D87D998">
        <w:rPr>
          <w:rFonts w:cs="Arial"/>
        </w:rPr>
        <w:t>services.</w:t>
      </w:r>
      <w:r w:rsidR="426642C7" w:rsidRPr="3D87D998">
        <w:rPr>
          <w:rFonts w:cs="Arial"/>
        </w:rPr>
        <w:t xml:space="preserve"> </w:t>
      </w:r>
    </w:p>
    <w:p w14:paraId="0170327E" w14:textId="77777777" w:rsidR="00555B2B" w:rsidRDefault="00555B2B">
      <w:pPr>
        <w:widowControl w:val="0"/>
        <w:rPr>
          <w:rFonts w:cs="Arial"/>
          <w:szCs w:val="26"/>
        </w:rPr>
      </w:pPr>
    </w:p>
    <w:p w14:paraId="484DBE0D" w14:textId="77777777" w:rsidR="00555B2B" w:rsidRDefault="00555B2B"/>
    <w:p w14:paraId="6980CDFD" w14:textId="77777777" w:rsidR="00555B2B" w:rsidRDefault="00555B2B"/>
    <w:p w14:paraId="0D6B6357" w14:textId="77777777" w:rsidR="00555B2B" w:rsidRDefault="0058077A">
      <w:pPr>
        <w:pStyle w:val="Heading2"/>
        <w:keepNext w:val="0"/>
        <w:pageBreakBefore/>
        <w:widowControl w:val="0"/>
        <w:rPr>
          <w:rFonts w:ascii="Calibri" w:hAnsi="Calibri"/>
          <w:i w:val="0"/>
        </w:rPr>
      </w:pPr>
      <w:r>
        <w:rPr>
          <w:rFonts w:ascii="Calibri" w:hAnsi="Calibri"/>
          <w:i w:val="0"/>
        </w:rPr>
        <w:t>CR-58 – Section 3</w:t>
      </w:r>
    </w:p>
    <w:p w14:paraId="6BCEC0D1" w14:textId="0F00AEDC" w:rsidR="00555B2B" w:rsidRDefault="01EDE12E" w:rsidP="3D87D998">
      <w:pPr>
        <w:widowControl w:val="0"/>
        <w:rPr>
          <w:b/>
          <w:bCs/>
          <w:sz w:val="24"/>
          <w:szCs w:val="24"/>
        </w:rPr>
      </w:pPr>
      <w:r w:rsidRPr="189EB430">
        <w:rPr>
          <w:b/>
          <w:bCs/>
          <w:sz w:val="24"/>
          <w:szCs w:val="24"/>
        </w:rPr>
        <w:t xml:space="preserve">Identify the number of individuals assisted and the types of assistance </w:t>
      </w:r>
      <w:r w:rsidR="00066316" w:rsidRPr="189EB430">
        <w:rPr>
          <w:b/>
          <w:bCs/>
          <w:sz w:val="24"/>
          <w:szCs w:val="24"/>
        </w:rPr>
        <w:t>provided.</w:t>
      </w:r>
      <w:r w:rsidRPr="189EB430">
        <w:rPr>
          <w:b/>
          <w:bCs/>
          <w:sz w:val="24"/>
          <w:szCs w:val="24"/>
        </w:rPr>
        <w:t xml:space="preserve"> </w:t>
      </w: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555B2B" w14:paraId="3F5F9A2B" w14:textId="77777777">
        <w:trPr>
          <w:cantSplit/>
        </w:trPr>
        <w:tc>
          <w:tcPr>
            <w:tcW w:w="5490" w:type="dxa"/>
          </w:tcPr>
          <w:p w14:paraId="1580C3C7" w14:textId="77777777" w:rsidR="00555B2B" w:rsidRDefault="0058077A">
            <w:pPr>
              <w:keepNext/>
              <w:widowControl w:val="0"/>
              <w:tabs>
                <w:tab w:val="left" w:pos="2070"/>
              </w:tabs>
              <w:spacing w:after="0" w:line="240" w:lineRule="auto"/>
              <w:ind w:right="162"/>
              <w:jc w:val="center"/>
              <w:rPr>
                <w:b/>
              </w:rPr>
            </w:pPr>
            <w:r>
              <w:rPr>
                <w:b/>
              </w:rPr>
              <w:t>Total Labor Hours</w:t>
            </w:r>
          </w:p>
        </w:tc>
        <w:tc>
          <w:tcPr>
            <w:tcW w:w="810" w:type="dxa"/>
          </w:tcPr>
          <w:p w14:paraId="07E36A8F" w14:textId="77777777" w:rsidR="00555B2B" w:rsidRDefault="0058077A">
            <w:pPr>
              <w:keepNext/>
              <w:widowControl w:val="0"/>
              <w:spacing w:after="0" w:line="240" w:lineRule="auto"/>
              <w:jc w:val="center"/>
              <w:rPr>
                <w:b/>
              </w:rPr>
            </w:pPr>
            <w:r>
              <w:rPr>
                <w:b/>
              </w:rPr>
              <w:t>CDBG</w:t>
            </w:r>
          </w:p>
        </w:tc>
        <w:tc>
          <w:tcPr>
            <w:tcW w:w="900" w:type="dxa"/>
          </w:tcPr>
          <w:p w14:paraId="3A7BAB71" w14:textId="77777777" w:rsidR="00555B2B" w:rsidRDefault="0058077A">
            <w:pPr>
              <w:keepNext/>
              <w:widowControl w:val="0"/>
              <w:spacing w:after="0" w:line="240" w:lineRule="auto"/>
              <w:jc w:val="center"/>
              <w:rPr>
                <w:b/>
              </w:rPr>
            </w:pPr>
            <w:r>
              <w:rPr>
                <w:b/>
              </w:rPr>
              <w:t>HOME</w:t>
            </w:r>
          </w:p>
        </w:tc>
        <w:tc>
          <w:tcPr>
            <w:tcW w:w="720" w:type="dxa"/>
          </w:tcPr>
          <w:p w14:paraId="356CF06F" w14:textId="77777777" w:rsidR="00555B2B" w:rsidRDefault="0058077A">
            <w:pPr>
              <w:keepNext/>
              <w:widowControl w:val="0"/>
              <w:spacing w:after="0" w:line="240" w:lineRule="auto"/>
              <w:rPr>
                <w:b/>
              </w:rPr>
            </w:pPr>
            <w:r>
              <w:rPr>
                <w:b/>
              </w:rPr>
              <w:t>ESG</w:t>
            </w:r>
          </w:p>
        </w:tc>
        <w:tc>
          <w:tcPr>
            <w:tcW w:w="990" w:type="dxa"/>
          </w:tcPr>
          <w:p w14:paraId="2F5098C2" w14:textId="77777777" w:rsidR="00555B2B" w:rsidRDefault="0058077A">
            <w:pPr>
              <w:keepNext/>
              <w:widowControl w:val="0"/>
              <w:spacing w:after="0" w:line="240" w:lineRule="auto"/>
              <w:jc w:val="center"/>
              <w:rPr>
                <w:b/>
              </w:rPr>
            </w:pPr>
            <w:r>
              <w:rPr>
                <w:b/>
              </w:rPr>
              <w:t>HOPWA</w:t>
            </w:r>
          </w:p>
        </w:tc>
        <w:tc>
          <w:tcPr>
            <w:tcW w:w="720" w:type="dxa"/>
          </w:tcPr>
          <w:p w14:paraId="42011A6D" w14:textId="77777777" w:rsidR="00555B2B" w:rsidRDefault="0058077A">
            <w:pPr>
              <w:keepNext/>
              <w:widowControl w:val="0"/>
              <w:spacing w:after="0" w:line="240" w:lineRule="auto"/>
              <w:jc w:val="center"/>
              <w:rPr>
                <w:b/>
              </w:rPr>
            </w:pPr>
            <w:r>
              <w:rPr>
                <w:b/>
              </w:rPr>
              <w:t>HTF</w:t>
            </w:r>
          </w:p>
        </w:tc>
      </w:tr>
      <w:tr w:rsidR="00555B2B" w14:paraId="46A9760D" w14:textId="77777777">
        <w:trPr>
          <w:cantSplit/>
        </w:trPr>
        <w:tc>
          <w:tcPr>
            <w:tcW w:w="5490" w:type="dxa"/>
            <w:vAlign w:val="center"/>
          </w:tcPr>
          <w:p w14:paraId="51AA43E7" w14:textId="77777777" w:rsidR="00555B2B" w:rsidRDefault="0058077A">
            <w:pPr>
              <w:spacing w:beforeAutospacing="1" w:afterAutospacing="1"/>
            </w:pPr>
            <w:r>
              <w:rPr>
                <w:rFonts w:ascii="Arial" w:hAnsi="Arial"/>
                <w:color w:val="25396E"/>
                <w:sz w:val="16"/>
              </w:rPr>
              <w:t>Total Number of Activities</w:t>
            </w:r>
          </w:p>
        </w:tc>
        <w:tc>
          <w:tcPr>
            <w:tcW w:w="810" w:type="dxa"/>
            <w:vAlign w:val="center"/>
          </w:tcPr>
          <w:p w14:paraId="0BFBDE6C" w14:textId="77777777" w:rsidR="00555B2B" w:rsidRDefault="0058077A">
            <w:pPr>
              <w:spacing w:beforeAutospacing="1" w:afterAutospacing="1"/>
              <w:jc w:val="right"/>
            </w:pPr>
            <w:r>
              <w:rPr>
                <w:rFonts w:ascii="Arial" w:hAnsi="Arial"/>
                <w:color w:val="000000"/>
                <w:sz w:val="16"/>
              </w:rPr>
              <w:t>0</w:t>
            </w:r>
          </w:p>
        </w:tc>
        <w:tc>
          <w:tcPr>
            <w:tcW w:w="900" w:type="dxa"/>
            <w:vAlign w:val="center"/>
          </w:tcPr>
          <w:p w14:paraId="58907F1E" w14:textId="77777777" w:rsidR="00555B2B" w:rsidRDefault="0058077A">
            <w:pPr>
              <w:spacing w:beforeAutospacing="1" w:afterAutospacing="1"/>
              <w:jc w:val="right"/>
            </w:pPr>
            <w:r>
              <w:rPr>
                <w:rFonts w:ascii="Arial" w:hAnsi="Arial"/>
                <w:color w:val="000000"/>
                <w:sz w:val="16"/>
              </w:rPr>
              <w:t>0</w:t>
            </w:r>
          </w:p>
        </w:tc>
        <w:tc>
          <w:tcPr>
            <w:tcW w:w="720" w:type="dxa"/>
            <w:vAlign w:val="center"/>
          </w:tcPr>
          <w:p w14:paraId="3A699058" w14:textId="77777777" w:rsidR="00555B2B" w:rsidRDefault="0058077A">
            <w:pPr>
              <w:spacing w:beforeAutospacing="1" w:afterAutospacing="1"/>
              <w:jc w:val="right"/>
            </w:pPr>
            <w:r>
              <w:rPr>
                <w:rFonts w:ascii="Arial" w:hAnsi="Arial"/>
                <w:color w:val="000000"/>
                <w:sz w:val="16"/>
              </w:rPr>
              <w:t>0</w:t>
            </w:r>
          </w:p>
        </w:tc>
        <w:tc>
          <w:tcPr>
            <w:tcW w:w="990" w:type="dxa"/>
            <w:vAlign w:val="center"/>
          </w:tcPr>
          <w:p w14:paraId="7ED34FC4" w14:textId="77777777" w:rsidR="00555B2B" w:rsidRDefault="0058077A">
            <w:pPr>
              <w:spacing w:beforeAutospacing="1" w:afterAutospacing="1"/>
              <w:jc w:val="right"/>
            </w:pPr>
            <w:r>
              <w:rPr>
                <w:rFonts w:ascii="Arial" w:hAnsi="Arial"/>
                <w:color w:val="000000"/>
                <w:sz w:val="16"/>
              </w:rPr>
              <w:t>0</w:t>
            </w:r>
          </w:p>
        </w:tc>
        <w:tc>
          <w:tcPr>
            <w:tcW w:w="720" w:type="dxa"/>
            <w:vAlign w:val="center"/>
          </w:tcPr>
          <w:p w14:paraId="0BA7FD34" w14:textId="77777777" w:rsidR="00555B2B" w:rsidRDefault="0058077A">
            <w:pPr>
              <w:spacing w:beforeAutospacing="1" w:afterAutospacing="1"/>
              <w:jc w:val="right"/>
            </w:pPr>
            <w:r>
              <w:rPr>
                <w:rFonts w:ascii="Arial" w:hAnsi="Arial"/>
                <w:color w:val="000000"/>
                <w:sz w:val="16"/>
              </w:rPr>
              <w:t>0</w:t>
            </w:r>
          </w:p>
        </w:tc>
      </w:tr>
      <w:tr w:rsidR="00555B2B" w14:paraId="285FC649" w14:textId="77777777">
        <w:trPr>
          <w:cantSplit/>
        </w:trPr>
        <w:tc>
          <w:tcPr>
            <w:tcW w:w="5490" w:type="dxa"/>
            <w:vAlign w:val="center"/>
          </w:tcPr>
          <w:p w14:paraId="6E22B978" w14:textId="77777777" w:rsidR="00555B2B" w:rsidRDefault="0058077A">
            <w:pPr>
              <w:spacing w:beforeAutospacing="1" w:afterAutospacing="1"/>
            </w:pPr>
            <w:r>
              <w:rPr>
                <w:rFonts w:ascii="Arial" w:hAnsi="Arial"/>
                <w:color w:val="25396E"/>
                <w:sz w:val="16"/>
              </w:rPr>
              <w:t>Total Labor Hours</w:t>
            </w:r>
          </w:p>
        </w:tc>
        <w:tc>
          <w:tcPr>
            <w:tcW w:w="810" w:type="dxa"/>
            <w:vAlign w:val="center"/>
          </w:tcPr>
          <w:p w14:paraId="45322E40"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31251841"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772048A1"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2C8F5295"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115FEEFB" w14:textId="77777777" w:rsidR="00555B2B" w:rsidRDefault="0058077A">
            <w:pPr>
              <w:spacing w:beforeAutospacing="1" w:afterAutospacing="1"/>
              <w:jc w:val="right"/>
            </w:pPr>
            <w:r>
              <w:rPr>
                <w:rFonts w:ascii="Arial" w:hAnsi="Arial"/>
                <w:color w:val="000000"/>
                <w:sz w:val="16"/>
              </w:rPr>
              <w:t xml:space="preserve"> </w:t>
            </w:r>
          </w:p>
        </w:tc>
      </w:tr>
      <w:tr w:rsidR="00555B2B" w14:paraId="264E1F87" w14:textId="77777777">
        <w:trPr>
          <w:cantSplit/>
        </w:trPr>
        <w:tc>
          <w:tcPr>
            <w:tcW w:w="5490" w:type="dxa"/>
            <w:vAlign w:val="center"/>
          </w:tcPr>
          <w:p w14:paraId="7D46B3B6" w14:textId="77777777" w:rsidR="00555B2B" w:rsidRDefault="0058077A">
            <w:pPr>
              <w:spacing w:beforeAutospacing="1" w:afterAutospacing="1"/>
            </w:pPr>
            <w:r>
              <w:rPr>
                <w:rFonts w:ascii="Arial" w:hAnsi="Arial"/>
                <w:color w:val="25396E"/>
                <w:sz w:val="16"/>
              </w:rPr>
              <w:t>Total Section 3 Worker Hours</w:t>
            </w:r>
          </w:p>
        </w:tc>
        <w:tc>
          <w:tcPr>
            <w:tcW w:w="810" w:type="dxa"/>
            <w:vAlign w:val="center"/>
          </w:tcPr>
          <w:p w14:paraId="1C693B1D"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0C0D93E4"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7FEF48D2"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19C9ACEF"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8FBFE0D" w14:textId="77777777" w:rsidR="00555B2B" w:rsidRDefault="0058077A">
            <w:pPr>
              <w:spacing w:beforeAutospacing="1" w:afterAutospacing="1"/>
              <w:jc w:val="right"/>
            </w:pPr>
            <w:r>
              <w:rPr>
                <w:rFonts w:ascii="Arial" w:hAnsi="Arial"/>
                <w:color w:val="000000"/>
                <w:sz w:val="16"/>
              </w:rPr>
              <w:t xml:space="preserve"> </w:t>
            </w:r>
          </w:p>
        </w:tc>
      </w:tr>
      <w:tr w:rsidR="00555B2B" w14:paraId="27A9FEEB" w14:textId="77777777">
        <w:trPr>
          <w:cantSplit/>
        </w:trPr>
        <w:tc>
          <w:tcPr>
            <w:tcW w:w="5490" w:type="dxa"/>
            <w:vAlign w:val="center"/>
          </w:tcPr>
          <w:p w14:paraId="1E1C399D" w14:textId="77777777" w:rsidR="00555B2B" w:rsidRDefault="0058077A">
            <w:pPr>
              <w:spacing w:beforeAutospacing="1" w:afterAutospacing="1"/>
            </w:pPr>
            <w:r>
              <w:rPr>
                <w:rFonts w:ascii="Arial" w:hAnsi="Arial"/>
                <w:color w:val="25396E"/>
                <w:sz w:val="16"/>
              </w:rPr>
              <w:t>Total Targeted Section 3 Worker Hours</w:t>
            </w:r>
          </w:p>
        </w:tc>
        <w:tc>
          <w:tcPr>
            <w:tcW w:w="810" w:type="dxa"/>
            <w:vAlign w:val="center"/>
          </w:tcPr>
          <w:p w14:paraId="3BDAFF06"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5B764B7D"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43AF118"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44401B22"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A5DB307" w14:textId="77777777" w:rsidR="00555B2B" w:rsidRDefault="0058077A">
            <w:pPr>
              <w:spacing w:beforeAutospacing="1" w:afterAutospacing="1"/>
              <w:jc w:val="right"/>
            </w:pPr>
            <w:r>
              <w:rPr>
                <w:rFonts w:ascii="Arial" w:hAnsi="Arial"/>
                <w:color w:val="000000"/>
                <w:sz w:val="16"/>
              </w:rPr>
              <w:t xml:space="preserve"> </w:t>
            </w:r>
          </w:p>
        </w:tc>
      </w:tr>
    </w:tbl>
    <w:p w14:paraId="3FA53C03" w14:textId="77777777" w:rsidR="00555B2B" w:rsidRDefault="0058077A" w:rsidP="0AF71021">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15</w:t>
      </w:r>
      <w:r w:rsidRPr="0AF71021">
        <w:rPr>
          <w:rFonts w:asciiTheme="minorHAnsi" w:hAnsiTheme="minorHAnsi"/>
        </w:rPr>
        <w:fldChar w:fldCharType="end"/>
      </w:r>
      <w:r w:rsidRPr="0AF71021">
        <w:rPr>
          <w:rFonts w:asciiTheme="minorHAnsi" w:hAnsiTheme="minorHAnsi"/>
        </w:rPr>
        <w:t xml:space="preserve"> – Total Labor Hours</w:t>
      </w:r>
    </w:p>
    <w:p w14:paraId="40FC133C" w14:textId="77777777" w:rsidR="00555B2B" w:rsidRDefault="00555B2B">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555B2B" w14:paraId="46A854C6" w14:textId="77777777">
        <w:trPr>
          <w:cantSplit/>
        </w:trPr>
        <w:tc>
          <w:tcPr>
            <w:tcW w:w="5490" w:type="dxa"/>
          </w:tcPr>
          <w:p w14:paraId="217ABDF7" w14:textId="77777777" w:rsidR="00555B2B" w:rsidRDefault="0058077A">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7CD6660C" w14:textId="77777777" w:rsidR="00555B2B" w:rsidRDefault="0058077A">
            <w:pPr>
              <w:keepNext/>
              <w:widowControl w:val="0"/>
              <w:spacing w:after="0" w:line="240" w:lineRule="auto"/>
              <w:jc w:val="center"/>
              <w:rPr>
                <w:b/>
              </w:rPr>
            </w:pPr>
            <w:r>
              <w:rPr>
                <w:b/>
              </w:rPr>
              <w:t>CDBG</w:t>
            </w:r>
          </w:p>
        </w:tc>
        <w:tc>
          <w:tcPr>
            <w:tcW w:w="900" w:type="dxa"/>
          </w:tcPr>
          <w:p w14:paraId="4815D8D7" w14:textId="77777777" w:rsidR="00555B2B" w:rsidRDefault="0058077A">
            <w:pPr>
              <w:keepNext/>
              <w:widowControl w:val="0"/>
              <w:spacing w:after="0" w:line="240" w:lineRule="auto"/>
              <w:jc w:val="center"/>
              <w:rPr>
                <w:b/>
              </w:rPr>
            </w:pPr>
            <w:r>
              <w:rPr>
                <w:b/>
              </w:rPr>
              <w:t>HOME</w:t>
            </w:r>
          </w:p>
        </w:tc>
        <w:tc>
          <w:tcPr>
            <w:tcW w:w="720" w:type="dxa"/>
          </w:tcPr>
          <w:p w14:paraId="092C7AF6" w14:textId="77777777" w:rsidR="00555B2B" w:rsidRDefault="0058077A">
            <w:pPr>
              <w:keepNext/>
              <w:widowControl w:val="0"/>
              <w:spacing w:after="0" w:line="240" w:lineRule="auto"/>
              <w:rPr>
                <w:b/>
              </w:rPr>
            </w:pPr>
            <w:r>
              <w:rPr>
                <w:b/>
              </w:rPr>
              <w:t>ESG</w:t>
            </w:r>
          </w:p>
        </w:tc>
        <w:tc>
          <w:tcPr>
            <w:tcW w:w="990" w:type="dxa"/>
          </w:tcPr>
          <w:p w14:paraId="0A75F474" w14:textId="77777777" w:rsidR="00555B2B" w:rsidRDefault="0058077A">
            <w:pPr>
              <w:keepNext/>
              <w:widowControl w:val="0"/>
              <w:spacing w:after="0" w:line="240" w:lineRule="auto"/>
              <w:jc w:val="center"/>
              <w:rPr>
                <w:b/>
              </w:rPr>
            </w:pPr>
            <w:r>
              <w:rPr>
                <w:b/>
              </w:rPr>
              <w:t>HOPWA</w:t>
            </w:r>
          </w:p>
        </w:tc>
        <w:tc>
          <w:tcPr>
            <w:tcW w:w="720" w:type="dxa"/>
          </w:tcPr>
          <w:p w14:paraId="6A2FCBBF" w14:textId="77777777" w:rsidR="00555B2B" w:rsidRDefault="0058077A">
            <w:pPr>
              <w:keepNext/>
              <w:widowControl w:val="0"/>
              <w:spacing w:after="0" w:line="240" w:lineRule="auto"/>
              <w:jc w:val="center"/>
              <w:rPr>
                <w:b/>
              </w:rPr>
            </w:pPr>
            <w:r>
              <w:rPr>
                <w:b/>
              </w:rPr>
              <w:t>HTF</w:t>
            </w:r>
          </w:p>
        </w:tc>
      </w:tr>
      <w:tr w:rsidR="00555B2B" w14:paraId="2C6DEBBE" w14:textId="77777777">
        <w:trPr>
          <w:cantSplit/>
        </w:trPr>
        <w:tc>
          <w:tcPr>
            <w:tcW w:w="5490" w:type="dxa"/>
            <w:vAlign w:val="center"/>
          </w:tcPr>
          <w:p w14:paraId="42C90978" w14:textId="77777777" w:rsidR="00555B2B" w:rsidRDefault="0058077A">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14:paraId="357D1CC2"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1BC501FD"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FEA13A2"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02002E0F"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5BF3A0D5" w14:textId="77777777" w:rsidR="00555B2B" w:rsidRDefault="0058077A">
            <w:pPr>
              <w:spacing w:beforeAutospacing="1" w:afterAutospacing="1"/>
              <w:jc w:val="right"/>
            </w:pPr>
            <w:r>
              <w:rPr>
                <w:rFonts w:ascii="Arial" w:hAnsi="Arial"/>
                <w:color w:val="000000"/>
                <w:sz w:val="16"/>
              </w:rPr>
              <w:t xml:space="preserve"> </w:t>
            </w:r>
          </w:p>
        </w:tc>
      </w:tr>
      <w:tr w:rsidR="00555B2B" w14:paraId="0DC58107" w14:textId="77777777">
        <w:trPr>
          <w:cantSplit/>
        </w:trPr>
        <w:tc>
          <w:tcPr>
            <w:tcW w:w="5490" w:type="dxa"/>
            <w:vAlign w:val="center"/>
          </w:tcPr>
          <w:p w14:paraId="0FF992C5" w14:textId="77777777" w:rsidR="00555B2B" w:rsidRDefault="0058077A">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14:paraId="748052A0"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79EEB3C4"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557358EB"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45270CCF"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6232816" w14:textId="77777777" w:rsidR="00555B2B" w:rsidRDefault="0058077A">
            <w:pPr>
              <w:spacing w:beforeAutospacing="1" w:afterAutospacing="1"/>
              <w:jc w:val="right"/>
            </w:pPr>
            <w:r>
              <w:rPr>
                <w:rFonts w:ascii="Arial" w:hAnsi="Arial"/>
                <w:color w:val="000000"/>
                <w:sz w:val="16"/>
              </w:rPr>
              <w:t xml:space="preserve"> </w:t>
            </w:r>
          </w:p>
        </w:tc>
      </w:tr>
      <w:tr w:rsidR="00555B2B" w14:paraId="334F123C" w14:textId="77777777">
        <w:trPr>
          <w:cantSplit/>
        </w:trPr>
        <w:tc>
          <w:tcPr>
            <w:tcW w:w="5490" w:type="dxa"/>
            <w:vAlign w:val="center"/>
          </w:tcPr>
          <w:p w14:paraId="6CF3A363" w14:textId="77777777" w:rsidR="00555B2B" w:rsidRDefault="0058077A">
            <w:pPr>
              <w:spacing w:beforeAutospacing="1" w:afterAutospacing="1"/>
            </w:pPr>
            <w:r>
              <w:rPr>
                <w:rFonts w:ascii="Arial" w:hAnsi="Arial"/>
                <w:color w:val="25396E"/>
                <w:sz w:val="16"/>
              </w:rPr>
              <w:t>Direct, on-the job training (including apprenticeships).</w:t>
            </w:r>
          </w:p>
        </w:tc>
        <w:tc>
          <w:tcPr>
            <w:tcW w:w="810" w:type="dxa"/>
            <w:vAlign w:val="center"/>
          </w:tcPr>
          <w:p w14:paraId="59CFEF7F"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1923AF95"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913B5CF"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54326F0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2DDA85E3" w14:textId="77777777" w:rsidR="00555B2B" w:rsidRDefault="0058077A">
            <w:pPr>
              <w:spacing w:beforeAutospacing="1" w:afterAutospacing="1"/>
              <w:jc w:val="right"/>
            </w:pPr>
            <w:r>
              <w:rPr>
                <w:rFonts w:ascii="Arial" w:hAnsi="Arial"/>
                <w:color w:val="000000"/>
                <w:sz w:val="16"/>
              </w:rPr>
              <w:t xml:space="preserve"> </w:t>
            </w:r>
          </w:p>
        </w:tc>
      </w:tr>
      <w:tr w:rsidR="00555B2B" w14:paraId="66E6E202" w14:textId="77777777">
        <w:trPr>
          <w:cantSplit/>
        </w:trPr>
        <w:tc>
          <w:tcPr>
            <w:tcW w:w="5490" w:type="dxa"/>
            <w:vAlign w:val="center"/>
          </w:tcPr>
          <w:p w14:paraId="7B7B472F" w14:textId="77777777" w:rsidR="00555B2B" w:rsidRDefault="0058077A">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14:paraId="4366C98A"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594E8986"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34FEC414"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2CB50A6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385D1B23" w14:textId="77777777" w:rsidR="00555B2B" w:rsidRDefault="0058077A">
            <w:pPr>
              <w:spacing w:beforeAutospacing="1" w:afterAutospacing="1"/>
              <w:jc w:val="right"/>
            </w:pPr>
            <w:r>
              <w:rPr>
                <w:rFonts w:ascii="Arial" w:hAnsi="Arial"/>
                <w:color w:val="000000"/>
                <w:sz w:val="16"/>
              </w:rPr>
              <w:t xml:space="preserve"> </w:t>
            </w:r>
          </w:p>
        </w:tc>
      </w:tr>
      <w:tr w:rsidR="00555B2B" w14:paraId="5ECE01BE" w14:textId="77777777">
        <w:trPr>
          <w:cantSplit/>
        </w:trPr>
        <w:tc>
          <w:tcPr>
            <w:tcW w:w="5490" w:type="dxa"/>
            <w:vAlign w:val="center"/>
          </w:tcPr>
          <w:p w14:paraId="42794DD4" w14:textId="77777777" w:rsidR="00555B2B" w:rsidRDefault="0058077A">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14:paraId="42AB9575"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4B91825E"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28433A53"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36214464"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354979AF" w14:textId="77777777" w:rsidR="00555B2B" w:rsidRDefault="0058077A">
            <w:pPr>
              <w:spacing w:beforeAutospacing="1" w:afterAutospacing="1"/>
              <w:jc w:val="right"/>
            </w:pPr>
            <w:r>
              <w:rPr>
                <w:rFonts w:ascii="Arial" w:hAnsi="Arial"/>
                <w:color w:val="000000"/>
                <w:sz w:val="16"/>
              </w:rPr>
              <w:t xml:space="preserve"> </w:t>
            </w:r>
          </w:p>
        </w:tc>
      </w:tr>
      <w:tr w:rsidR="00555B2B" w14:paraId="4BFC75F2" w14:textId="77777777">
        <w:trPr>
          <w:cantSplit/>
        </w:trPr>
        <w:tc>
          <w:tcPr>
            <w:tcW w:w="5490" w:type="dxa"/>
            <w:vAlign w:val="center"/>
          </w:tcPr>
          <w:p w14:paraId="2025C7B1" w14:textId="77777777" w:rsidR="00555B2B" w:rsidRDefault="0058077A">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14:paraId="646A99D4"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689C539F"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5040F365"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66C65476"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1A32CD9" w14:textId="77777777" w:rsidR="00555B2B" w:rsidRDefault="0058077A">
            <w:pPr>
              <w:spacing w:beforeAutospacing="1" w:afterAutospacing="1"/>
              <w:jc w:val="right"/>
            </w:pPr>
            <w:r>
              <w:rPr>
                <w:rFonts w:ascii="Arial" w:hAnsi="Arial"/>
                <w:color w:val="000000"/>
                <w:sz w:val="16"/>
              </w:rPr>
              <w:t xml:space="preserve"> </w:t>
            </w:r>
          </w:p>
        </w:tc>
      </w:tr>
      <w:tr w:rsidR="00555B2B" w14:paraId="002EFB6B" w14:textId="77777777">
        <w:trPr>
          <w:cantSplit/>
        </w:trPr>
        <w:tc>
          <w:tcPr>
            <w:tcW w:w="5490" w:type="dxa"/>
            <w:vAlign w:val="center"/>
          </w:tcPr>
          <w:p w14:paraId="2F459B15" w14:textId="77777777" w:rsidR="00555B2B" w:rsidRDefault="0058077A">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14:paraId="1C5B4A20"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75376AC3"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A07C36F"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46E15842"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4E03BB23" w14:textId="77777777" w:rsidR="00555B2B" w:rsidRDefault="0058077A">
            <w:pPr>
              <w:spacing w:beforeAutospacing="1" w:afterAutospacing="1"/>
              <w:jc w:val="right"/>
            </w:pPr>
            <w:r>
              <w:rPr>
                <w:rFonts w:ascii="Arial" w:hAnsi="Arial"/>
                <w:color w:val="000000"/>
                <w:sz w:val="16"/>
              </w:rPr>
              <w:t xml:space="preserve"> </w:t>
            </w:r>
          </w:p>
        </w:tc>
      </w:tr>
      <w:tr w:rsidR="00555B2B" w14:paraId="5ED6B75B" w14:textId="77777777">
        <w:trPr>
          <w:cantSplit/>
        </w:trPr>
        <w:tc>
          <w:tcPr>
            <w:tcW w:w="5490" w:type="dxa"/>
            <w:vAlign w:val="center"/>
          </w:tcPr>
          <w:p w14:paraId="256FF936" w14:textId="77777777" w:rsidR="00555B2B" w:rsidRDefault="0058077A">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14:paraId="53B84F14"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60BE9EE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BE33906"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270F4FA2"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116EB306" w14:textId="77777777" w:rsidR="00555B2B" w:rsidRDefault="0058077A">
            <w:pPr>
              <w:spacing w:beforeAutospacing="1" w:afterAutospacing="1"/>
              <w:jc w:val="right"/>
            </w:pPr>
            <w:r>
              <w:rPr>
                <w:rFonts w:ascii="Arial" w:hAnsi="Arial"/>
                <w:color w:val="000000"/>
                <w:sz w:val="16"/>
              </w:rPr>
              <w:t xml:space="preserve"> </w:t>
            </w:r>
          </w:p>
        </w:tc>
      </w:tr>
      <w:tr w:rsidR="00555B2B" w14:paraId="73F92F16" w14:textId="77777777">
        <w:trPr>
          <w:cantSplit/>
        </w:trPr>
        <w:tc>
          <w:tcPr>
            <w:tcW w:w="5490" w:type="dxa"/>
            <w:vAlign w:val="center"/>
          </w:tcPr>
          <w:p w14:paraId="6E451784" w14:textId="648C00D5" w:rsidR="00555B2B" w:rsidRDefault="0058077A">
            <w:pPr>
              <w:spacing w:beforeAutospacing="1" w:afterAutospacing="1"/>
            </w:pPr>
            <w:r>
              <w:rPr>
                <w:rFonts w:ascii="Arial" w:hAnsi="Arial"/>
                <w:color w:val="25396E"/>
                <w:sz w:val="16"/>
              </w:rPr>
              <w:t xml:space="preserve">Provided or connected residents with assistance in seeking employment including: drafting </w:t>
            </w:r>
            <w:r w:rsidR="00066316">
              <w:rPr>
                <w:rFonts w:ascii="Arial" w:hAnsi="Arial"/>
                <w:color w:val="25396E"/>
                <w:sz w:val="16"/>
              </w:rPr>
              <w:t>resumes, preparing</w:t>
            </w:r>
            <w:r>
              <w:rPr>
                <w:rFonts w:ascii="Arial" w:hAnsi="Arial"/>
                <w:color w:val="25396E"/>
                <w:sz w:val="16"/>
              </w:rPr>
              <w:t xml:space="preserve"> for interviews, finding job opportunities, connecting residents to job placement services.</w:t>
            </w:r>
          </w:p>
        </w:tc>
        <w:tc>
          <w:tcPr>
            <w:tcW w:w="810" w:type="dxa"/>
            <w:vAlign w:val="center"/>
          </w:tcPr>
          <w:p w14:paraId="6BA40DA6"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0FAC8C53"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98FF8BC"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5346210F"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446F1158" w14:textId="77777777" w:rsidR="00555B2B" w:rsidRDefault="0058077A">
            <w:pPr>
              <w:spacing w:beforeAutospacing="1" w:afterAutospacing="1"/>
              <w:jc w:val="right"/>
            </w:pPr>
            <w:r>
              <w:rPr>
                <w:rFonts w:ascii="Arial" w:hAnsi="Arial"/>
                <w:color w:val="000000"/>
                <w:sz w:val="16"/>
              </w:rPr>
              <w:t xml:space="preserve"> </w:t>
            </w:r>
          </w:p>
        </w:tc>
      </w:tr>
      <w:tr w:rsidR="00555B2B" w14:paraId="6F7BE93B" w14:textId="77777777">
        <w:trPr>
          <w:cantSplit/>
        </w:trPr>
        <w:tc>
          <w:tcPr>
            <w:tcW w:w="5490" w:type="dxa"/>
            <w:vAlign w:val="center"/>
          </w:tcPr>
          <w:p w14:paraId="39906231" w14:textId="77777777" w:rsidR="00555B2B" w:rsidRDefault="0058077A">
            <w:pPr>
              <w:spacing w:beforeAutospacing="1" w:afterAutospacing="1"/>
            </w:pPr>
            <w:r>
              <w:rPr>
                <w:rFonts w:ascii="Arial" w:hAnsi="Arial"/>
                <w:color w:val="25396E"/>
                <w:sz w:val="16"/>
              </w:rPr>
              <w:t>Held one or more job fairs.</w:t>
            </w:r>
          </w:p>
        </w:tc>
        <w:tc>
          <w:tcPr>
            <w:tcW w:w="810" w:type="dxa"/>
            <w:vAlign w:val="center"/>
          </w:tcPr>
          <w:p w14:paraId="7313CDBC"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59C8A0A1"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0C719BB"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7132DB38"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4710EDB4" w14:textId="77777777" w:rsidR="00555B2B" w:rsidRDefault="0058077A">
            <w:pPr>
              <w:spacing w:beforeAutospacing="1" w:afterAutospacing="1"/>
              <w:jc w:val="right"/>
            </w:pPr>
            <w:r>
              <w:rPr>
                <w:rFonts w:ascii="Arial" w:hAnsi="Arial"/>
                <w:color w:val="000000"/>
                <w:sz w:val="16"/>
              </w:rPr>
              <w:t xml:space="preserve"> </w:t>
            </w:r>
          </w:p>
        </w:tc>
      </w:tr>
      <w:tr w:rsidR="00555B2B" w14:paraId="2A7B26F8" w14:textId="77777777">
        <w:trPr>
          <w:cantSplit/>
        </w:trPr>
        <w:tc>
          <w:tcPr>
            <w:tcW w:w="5490" w:type="dxa"/>
            <w:vAlign w:val="center"/>
          </w:tcPr>
          <w:p w14:paraId="7FAF6A46" w14:textId="77777777" w:rsidR="00555B2B" w:rsidRDefault="0058077A">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14:paraId="078D0ABA"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48E12875"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0D9F4C3"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448F91AA"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52D402C5" w14:textId="77777777" w:rsidR="00555B2B" w:rsidRDefault="0058077A">
            <w:pPr>
              <w:spacing w:beforeAutospacing="1" w:afterAutospacing="1"/>
              <w:jc w:val="right"/>
            </w:pPr>
            <w:r>
              <w:rPr>
                <w:rFonts w:ascii="Arial" w:hAnsi="Arial"/>
                <w:color w:val="000000"/>
                <w:sz w:val="16"/>
              </w:rPr>
              <w:t xml:space="preserve"> </w:t>
            </w:r>
          </w:p>
        </w:tc>
      </w:tr>
      <w:tr w:rsidR="00555B2B" w14:paraId="40F59E2B" w14:textId="77777777">
        <w:trPr>
          <w:cantSplit/>
        </w:trPr>
        <w:tc>
          <w:tcPr>
            <w:tcW w:w="5490" w:type="dxa"/>
            <w:vAlign w:val="center"/>
          </w:tcPr>
          <w:p w14:paraId="5192C50B" w14:textId="77777777" w:rsidR="00555B2B" w:rsidRDefault="0058077A">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069E25BE"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7C1AAF54"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26C52A65"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74F8285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F30DF5B" w14:textId="77777777" w:rsidR="00555B2B" w:rsidRDefault="0058077A">
            <w:pPr>
              <w:spacing w:beforeAutospacing="1" w:afterAutospacing="1"/>
              <w:jc w:val="right"/>
            </w:pPr>
            <w:r>
              <w:rPr>
                <w:rFonts w:ascii="Arial" w:hAnsi="Arial"/>
                <w:color w:val="000000"/>
                <w:sz w:val="16"/>
              </w:rPr>
              <w:t xml:space="preserve"> </w:t>
            </w:r>
          </w:p>
        </w:tc>
      </w:tr>
      <w:tr w:rsidR="00555B2B" w14:paraId="295D4A5D" w14:textId="77777777">
        <w:trPr>
          <w:cantSplit/>
        </w:trPr>
        <w:tc>
          <w:tcPr>
            <w:tcW w:w="5490" w:type="dxa"/>
            <w:vAlign w:val="center"/>
          </w:tcPr>
          <w:p w14:paraId="29C1B80E" w14:textId="77777777" w:rsidR="00555B2B" w:rsidRDefault="0058077A">
            <w:pPr>
              <w:spacing w:beforeAutospacing="1" w:afterAutospacing="1"/>
            </w:pPr>
            <w:r>
              <w:rPr>
                <w:rFonts w:ascii="Arial" w:hAnsi="Arial"/>
                <w:color w:val="25396E"/>
                <w:sz w:val="16"/>
              </w:rPr>
              <w:t>Assisted residents with finding child care.</w:t>
            </w:r>
          </w:p>
        </w:tc>
        <w:tc>
          <w:tcPr>
            <w:tcW w:w="810" w:type="dxa"/>
            <w:vAlign w:val="center"/>
          </w:tcPr>
          <w:p w14:paraId="07BEC22A"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3C2B66E7"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81774BF"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66E6B281"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3B5AE704" w14:textId="77777777" w:rsidR="00555B2B" w:rsidRDefault="0058077A">
            <w:pPr>
              <w:spacing w:beforeAutospacing="1" w:afterAutospacing="1"/>
              <w:jc w:val="right"/>
            </w:pPr>
            <w:r>
              <w:rPr>
                <w:rFonts w:ascii="Arial" w:hAnsi="Arial"/>
                <w:color w:val="000000"/>
                <w:sz w:val="16"/>
              </w:rPr>
              <w:t xml:space="preserve"> </w:t>
            </w:r>
          </w:p>
        </w:tc>
      </w:tr>
      <w:tr w:rsidR="00555B2B" w14:paraId="42D58896" w14:textId="77777777">
        <w:trPr>
          <w:cantSplit/>
        </w:trPr>
        <w:tc>
          <w:tcPr>
            <w:tcW w:w="5490" w:type="dxa"/>
            <w:vAlign w:val="center"/>
          </w:tcPr>
          <w:p w14:paraId="7AFA9751" w14:textId="77777777" w:rsidR="00555B2B" w:rsidRDefault="0058077A">
            <w:pPr>
              <w:spacing w:beforeAutospacing="1" w:afterAutospacing="1"/>
            </w:pPr>
            <w:r>
              <w:rPr>
                <w:rFonts w:ascii="Arial" w:hAnsi="Arial"/>
                <w:color w:val="25396E"/>
                <w:sz w:val="16"/>
              </w:rPr>
              <w:t>Assisted residents to apply for, or attend community college or a four year educational institution.</w:t>
            </w:r>
          </w:p>
        </w:tc>
        <w:tc>
          <w:tcPr>
            <w:tcW w:w="810" w:type="dxa"/>
            <w:vAlign w:val="center"/>
          </w:tcPr>
          <w:p w14:paraId="7A8BEDD7"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65305534"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A418EBA"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100D1917"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1883E93" w14:textId="77777777" w:rsidR="00555B2B" w:rsidRDefault="0058077A">
            <w:pPr>
              <w:spacing w:beforeAutospacing="1" w:afterAutospacing="1"/>
              <w:jc w:val="right"/>
            </w:pPr>
            <w:r>
              <w:rPr>
                <w:rFonts w:ascii="Arial" w:hAnsi="Arial"/>
                <w:color w:val="000000"/>
                <w:sz w:val="16"/>
              </w:rPr>
              <w:t xml:space="preserve"> </w:t>
            </w:r>
          </w:p>
        </w:tc>
      </w:tr>
      <w:tr w:rsidR="00555B2B" w14:paraId="378D5E46" w14:textId="77777777">
        <w:trPr>
          <w:cantSplit/>
        </w:trPr>
        <w:tc>
          <w:tcPr>
            <w:tcW w:w="5490" w:type="dxa"/>
            <w:vAlign w:val="center"/>
          </w:tcPr>
          <w:p w14:paraId="14E5ADA6" w14:textId="77777777" w:rsidR="00555B2B" w:rsidRDefault="0058077A">
            <w:pPr>
              <w:spacing w:beforeAutospacing="1" w:afterAutospacing="1"/>
            </w:pPr>
            <w:r>
              <w:rPr>
                <w:rFonts w:ascii="Arial" w:hAnsi="Arial"/>
                <w:color w:val="25396E"/>
                <w:sz w:val="16"/>
              </w:rPr>
              <w:t>Assisted residents to apply for, or attend vocational/technical training.</w:t>
            </w:r>
          </w:p>
        </w:tc>
        <w:tc>
          <w:tcPr>
            <w:tcW w:w="810" w:type="dxa"/>
            <w:vAlign w:val="center"/>
          </w:tcPr>
          <w:p w14:paraId="4A4373E6"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18C21A0B"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96DE984"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38A45EC5"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14D48209" w14:textId="77777777" w:rsidR="00555B2B" w:rsidRDefault="0058077A">
            <w:pPr>
              <w:spacing w:beforeAutospacing="1" w:afterAutospacing="1"/>
              <w:jc w:val="right"/>
            </w:pPr>
            <w:r>
              <w:rPr>
                <w:rFonts w:ascii="Arial" w:hAnsi="Arial"/>
                <w:color w:val="000000"/>
                <w:sz w:val="16"/>
              </w:rPr>
              <w:t xml:space="preserve"> </w:t>
            </w:r>
          </w:p>
        </w:tc>
      </w:tr>
      <w:tr w:rsidR="00555B2B" w14:paraId="09160602" w14:textId="77777777">
        <w:trPr>
          <w:cantSplit/>
        </w:trPr>
        <w:tc>
          <w:tcPr>
            <w:tcW w:w="5490" w:type="dxa"/>
            <w:vAlign w:val="center"/>
          </w:tcPr>
          <w:p w14:paraId="45667673" w14:textId="77777777" w:rsidR="00555B2B" w:rsidRDefault="0058077A">
            <w:pPr>
              <w:spacing w:beforeAutospacing="1" w:afterAutospacing="1"/>
            </w:pPr>
            <w:r>
              <w:rPr>
                <w:rFonts w:ascii="Arial" w:hAnsi="Arial"/>
                <w:color w:val="25396E"/>
                <w:sz w:val="16"/>
              </w:rPr>
              <w:t>Assisted residents to obtain financial literacy training and/or coaching.</w:t>
            </w:r>
          </w:p>
        </w:tc>
        <w:tc>
          <w:tcPr>
            <w:tcW w:w="810" w:type="dxa"/>
            <w:vAlign w:val="center"/>
          </w:tcPr>
          <w:p w14:paraId="06DAFD83"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1A3C3500"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12CA1380"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6D5AC873"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4EC8D166" w14:textId="77777777" w:rsidR="00555B2B" w:rsidRDefault="0058077A">
            <w:pPr>
              <w:spacing w:beforeAutospacing="1" w:afterAutospacing="1"/>
              <w:jc w:val="right"/>
            </w:pPr>
            <w:r>
              <w:rPr>
                <w:rFonts w:ascii="Arial" w:hAnsi="Arial"/>
                <w:color w:val="000000"/>
                <w:sz w:val="16"/>
              </w:rPr>
              <w:t xml:space="preserve"> </w:t>
            </w:r>
          </w:p>
        </w:tc>
      </w:tr>
      <w:tr w:rsidR="00555B2B" w14:paraId="5311FC57" w14:textId="77777777">
        <w:trPr>
          <w:cantSplit/>
        </w:trPr>
        <w:tc>
          <w:tcPr>
            <w:tcW w:w="5490" w:type="dxa"/>
            <w:vAlign w:val="center"/>
          </w:tcPr>
          <w:p w14:paraId="2CF126F0" w14:textId="77777777" w:rsidR="00555B2B" w:rsidRDefault="0058077A">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14:paraId="3A6F7F1C"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626C184E"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7ED5EF2"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1860585C"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432A9138" w14:textId="77777777" w:rsidR="00555B2B" w:rsidRDefault="0058077A">
            <w:pPr>
              <w:spacing w:beforeAutospacing="1" w:afterAutospacing="1"/>
              <w:jc w:val="right"/>
            </w:pPr>
            <w:r>
              <w:rPr>
                <w:rFonts w:ascii="Arial" w:hAnsi="Arial"/>
                <w:color w:val="000000"/>
                <w:sz w:val="16"/>
              </w:rPr>
              <w:t xml:space="preserve"> </w:t>
            </w:r>
          </w:p>
        </w:tc>
      </w:tr>
      <w:tr w:rsidR="00555B2B" w14:paraId="5F530B0A" w14:textId="77777777">
        <w:trPr>
          <w:cantSplit/>
        </w:trPr>
        <w:tc>
          <w:tcPr>
            <w:tcW w:w="5490" w:type="dxa"/>
            <w:vAlign w:val="center"/>
          </w:tcPr>
          <w:p w14:paraId="740A7E21" w14:textId="77777777" w:rsidR="00555B2B" w:rsidRDefault="0058077A">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14:paraId="5195A0BD"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74444A1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7ADBA04F"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56A1E105"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1B42736E" w14:textId="77777777" w:rsidR="00555B2B" w:rsidRDefault="0058077A">
            <w:pPr>
              <w:spacing w:beforeAutospacing="1" w:afterAutospacing="1"/>
              <w:jc w:val="right"/>
            </w:pPr>
            <w:r>
              <w:rPr>
                <w:rFonts w:ascii="Arial" w:hAnsi="Arial"/>
                <w:color w:val="000000"/>
                <w:sz w:val="16"/>
              </w:rPr>
              <w:t xml:space="preserve"> </w:t>
            </w:r>
          </w:p>
        </w:tc>
      </w:tr>
      <w:tr w:rsidR="00555B2B" w14:paraId="0137506A" w14:textId="77777777">
        <w:trPr>
          <w:cantSplit/>
        </w:trPr>
        <w:tc>
          <w:tcPr>
            <w:tcW w:w="5490" w:type="dxa"/>
            <w:vAlign w:val="center"/>
          </w:tcPr>
          <w:p w14:paraId="0FDB74CC" w14:textId="77777777" w:rsidR="00555B2B" w:rsidRDefault="0058077A">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14:paraId="711C7ABE"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6C9DB38C"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78FDEAAE"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402119E9"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50EBCD7F" w14:textId="77777777" w:rsidR="00555B2B" w:rsidRDefault="0058077A">
            <w:pPr>
              <w:spacing w:beforeAutospacing="1" w:afterAutospacing="1"/>
              <w:jc w:val="right"/>
            </w:pPr>
            <w:r>
              <w:rPr>
                <w:rFonts w:ascii="Arial" w:hAnsi="Arial"/>
                <w:color w:val="000000"/>
                <w:sz w:val="16"/>
              </w:rPr>
              <w:t xml:space="preserve"> </w:t>
            </w:r>
          </w:p>
        </w:tc>
      </w:tr>
      <w:tr w:rsidR="00555B2B" w14:paraId="1C52AD41" w14:textId="77777777">
        <w:trPr>
          <w:cantSplit/>
        </w:trPr>
        <w:tc>
          <w:tcPr>
            <w:tcW w:w="5490" w:type="dxa"/>
            <w:vAlign w:val="center"/>
          </w:tcPr>
          <w:p w14:paraId="4214ACBA" w14:textId="77777777" w:rsidR="00555B2B" w:rsidRDefault="0058077A">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2E333A95"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7E5B315A"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B8157FD"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7C1935FC"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6E3903C6" w14:textId="77777777" w:rsidR="00555B2B" w:rsidRDefault="0058077A">
            <w:pPr>
              <w:spacing w:beforeAutospacing="1" w:afterAutospacing="1"/>
              <w:jc w:val="right"/>
            </w:pPr>
            <w:r>
              <w:rPr>
                <w:rFonts w:ascii="Arial" w:hAnsi="Arial"/>
                <w:color w:val="000000"/>
                <w:sz w:val="16"/>
              </w:rPr>
              <w:t xml:space="preserve"> </w:t>
            </w:r>
          </w:p>
        </w:tc>
      </w:tr>
      <w:tr w:rsidR="00555B2B" w14:paraId="17252FCE" w14:textId="77777777">
        <w:trPr>
          <w:cantSplit/>
        </w:trPr>
        <w:tc>
          <w:tcPr>
            <w:tcW w:w="5490" w:type="dxa"/>
            <w:vAlign w:val="center"/>
          </w:tcPr>
          <w:p w14:paraId="2ACD66DD" w14:textId="77777777" w:rsidR="00555B2B" w:rsidRDefault="0058077A">
            <w:pPr>
              <w:spacing w:beforeAutospacing="1" w:afterAutospacing="1"/>
            </w:pPr>
            <w:r>
              <w:rPr>
                <w:rFonts w:ascii="Arial" w:hAnsi="Arial"/>
                <w:color w:val="25396E"/>
                <w:sz w:val="16"/>
              </w:rPr>
              <w:t>Other.</w:t>
            </w:r>
          </w:p>
        </w:tc>
        <w:tc>
          <w:tcPr>
            <w:tcW w:w="810" w:type="dxa"/>
            <w:vAlign w:val="center"/>
          </w:tcPr>
          <w:p w14:paraId="24EFF45E" w14:textId="77777777" w:rsidR="00555B2B" w:rsidRDefault="0058077A">
            <w:pPr>
              <w:spacing w:beforeAutospacing="1" w:afterAutospacing="1"/>
              <w:jc w:val="right"/>
            </w:pPr>
            <w:r>
              <w:rPr>
                <w:rFonts w:ascii="Arial" w:hAnsi="Arial"/>
                <w:color w:val="000000"/>
                <w:sz w:val="16"/>
              </w:rPr>
              <w:t xml:space="preserve"> </w:t>
            </w:r>
          </w:p>
        </w:tc>
        <w:tc>
          <w:tcPr>
            <w:tcW w:w="900" w:type="dxa"/>
            <w:vAlign w:val="center"/>
          </w:tcPr>
          <w:p w14:paraId="247E89F3"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257EF3EA" w14:textId="77777777" w:rsidR="00555B2B" w:rsidRDefault="0058077A">
            <w:pPr>
              <w:spacing w:beforeAutospacing="1" w:afterAutospacing="1"/>
              <w:jc w:val="right"/>
            </w:pPr>
            <w:r>
              <w:rPr>
                <w:rFonts w:ascii="Arial" w:hAnsi="Arial"/>
                <w:color w:val="000000"/>
                <w:sz w:val="16"/>
              </w:rPr>
              <w:t xml:space="preserve"> </w:t>
            </w:r>
          </w:p>
        </w:tc>
        <w:tc>
          <w:tcPr>
            <w:tcW w:w="990" w:type="dxa"/>
            <w:vAlign w:val="center"/>
          </w:tcPr>
          <w:p w14:paraId="12601A2C" w14:textId="77777777" w:rsidR="00555B2B" w:rsidRDefault="0058077A">
            <w:pPr>
              <w:spacing w:beforeAutospacing="1" w:afterAutospacing="1"/>
              <w:jc w:val="right"/>
            </w:pPr>
            <w:r>
              <w:rPr>
                <w:rFonts w:ascii="Arial" w:hAnsi="Arial"/>
                <w:color w:val="000000"/>
                <w:sz w:val="16"/>
              </w:rPr>
              <w:t xml:space="preserve"> </w:t>
            </w:r>
          </w:p>
        </w:tc>
        <w:tc>
          <w:tcPr>
            <w:tcW w:w="720" w:type="dxa"/>
            <w:vAlign w:val="center"/>
          </w:tcPr>
          <w:p w14:paraId="0BD8CC60" w14:textId="77777777" w:rsidR="00555B2B" w:rsidRDefault="0058077A">
            <w:pPr>
              <w:spacing w:beforeAutospacing="1" w:afterAutospacing="1"/>
              <w:jc w:val="right"/>
            </w:pPr>
            <w:r>
              <w:rPr>
                <w:rFonts w:ascii="Arial" w:hAnsi="Arial"/>
                <w:color w:val="000000"/>
                <w:sz w:val="16"/>
              </w:rPr>
              <w:t xml:space="preserve"> </w:t>
            </w:r>
          </w:p>
        </w:tc>
      </w:tr>
    </w:tbl>
    <w:p w14:paraId="26017742" w14:textId="4A03C56F" w:rsidR="00555B2B" w:rsidRPr="000C346A" w:rsidRDefault="0058077A" w:rsidP="000C346A">
      <w:pPr>
        <w:pStyle w:val="Caption"/>
        <w:jc w:val="center"/>
        <w:rPr>
          <w:rFonts w:asciiTheme="minorHAnsi" w:hAnsiTheme="minorHAnsi"/>
        </w:rPr>
      </w:pPr>
      <w:r w:rsidRPr="0AF71021">
        <w:rPr>
          <w:rFonts w:asciiTheme="minorHAnsi" w:hAnsiTheme="minorHAnsi"/>
        </w:rPr>
        <w:t xml:space="preserve">Table </w:t>
      </w:r>
      <w:r w:rsidRPr="0AF71021">
        <w:rPr>
          <w:rFonts w:asciiTheme="minorHAnsi" w:hAnsiTheme="minorHAnsi"/>
        </w:rPr>
        <w:fldChar w:fldCharType="begin"/>
      </w:r>
      <w:r w:rsidRPr="0AF71021">
        <w:rPr>
          <w:rFonts w:asciiTheme="minorHAnsi" w:hAnsiTheme="minorHAnsi"/>
        </w:rPr>
        <w:instrText xml:space="preserve"> SEQ Table \* ARABIC </w:instrText>
      </w:r>
      <w:r w:rsidRPr="0AF71021">
        <w:rPr>
          <w:rFonts w:asciiTheme="minorHAnsi" w:hAnsiTheme="minorHAnsi"/>
        </w:rPr>
        <w:fldChar w:fldCharType="separate"/>
      </w:r>
      <w:r w:rsidRPr="0AF71021">
        <w:rPr>
          <w:rFonts w:asciiTheme="minorHAnsi" w:hAnsiTheme="minorHAnsi"/>
        </w:rPr>
        <w:t>16</w:t>
      </w:r>
      <w:r w:rsidRPr="0AF71021">
        <w:rPr>
          <w:rFonts w:asciiTheme="minorHAnsi" w:hAnsiTheme="minorHAnsi"/>
        </w:rPr>
        <w:fldChar w:fldCharType="end"/>
      </w:r>
      <w:r w:rsidRPr="0AF71021">
        <w:rPr>
          <w:rFonts w:asciiTheme="minorHAnsi" w:hAnsiTheme="minorHAnsi"/>
        </w:rPr>
        <w:t xml:space="preserve"> – Qualitative Efforts - Number of Activities by Program</w:t>
      </w:r>
    </w:p>
    <w:p w14:paraId="2F5E8DC9" w14:textId="74039F50" w:rsidR="00555B2B" w:rsidRPr="000C346A" w:rsidRDefault="0058077A" w:rsidP="000C346A">
      <w:pPr>
        <w:widowControl w:val="0"/>
        <w:rPr>
          <w:b/>
          <w:sz w:val="24"/>
          <w:szCs w:val="24"/>
        </w:rPr>
      </w:pPr>
      <w:r>
        <w:rPr>
          <w:b/>
          <w:sz w:val="24"/>
          <w:szCs w:val="24"/>
        </w:rPr>
        <w:t>Narrative</w:t>
      </w:r>
    </w:p>
    <w:sectPr w:rsidR="00555B2B" w:rsidRPr="000C346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19BA" w14:textId="77777777" w:rsidR="006E1799" w:rsidRDefault="006E1799">
      <w:r>
        <w:separator/>
      </w:r>
    </w:p>
  </w:endnote>
  <w:endnote w:type="continuationSeparator" w:id="0">
    <w:p w14:paraId="640B6612" w14:textId="77777777" w:rsidR="006E1799" w:rsidRDefault="006E1799">
      <w:r>
        <w:continuationSeparator/>
      </w:r>
    </w:p>
  </w:endnote>
  <w:endnote w:type="continuationNotice" w:id="1">
    <w:p w14:paraId="54847677" w14:textId="77777777" w:rsidR="006E1799" w:rsidRDefault="006E1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stem-u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555B2B" w14:paraId="1EEB6B60" w14:textId="77777777" w:rsidTr="0AF71021">
      <w:trPr>
        <w:jc w:val="center"/>
      </w:trPr>
      <w:tc>
        <w:tcPr>
          <w:tcW w:w="828" w:type="dxa"/>
        </w:tcPr>
        <w:p w14:paraId="14EECE4B" w14:textId="77777777" w:rsidR="00555B2B" w:rsidRDefault="00555B2B">
          <w:pPr>
            <w:pStyle w:val="Footer"/>
            <w:spacing w:after="0" w:line="240" w:lineRule="auto"/>
            <w:jc w:val="center"/>
          </w:pPr>
        </w:p>
      </w:tc>
      <w:tc>
        <w:tcPr>
          <w:tcW w:w="7976" w:type="dxa"/>
        </w:tcPr>
        <w:p w14:paraId="286CDF3A" w14:textId="77777777" w:rsidR="00555B2B" w:rsidRDefault="0058077A">
          <w:pPr>
            <w:pStyle w:val="Footer"/>
            <w:spacing w:after="0" w:line="240" w:lineRule="auto"/>
            <w:jc w:val="center"/>
          </w:pPr>
          <w:r>
            <w:t>CAPER</w:t>
          </w:r>
        </w:p>
      </w:tc>
      <w:tc>
        <w:tcPr>
          <w:tcW w:w="772" w:type="dxa"/>
        </w:tcPr>
        <w:p w14:paraId="73BC6E96" w14:textId="77777777" w:rsidR="00555B2B" w:rsidRDefault="0058077A">
          <w:pPr>
            <w:pStyle w:val="Footer"/>
            <w:spacing w:after="0" w:line="240" w:lineRule="auto"/>
            <w:jc w:val="right"/>
          </w:pPr>
          <w:r>
            <w:fldChar w:fldCharType="begin"/>
          </w:r>
          <w:r>
            <w:instrText>page</w:instrText>
          </w:r>
          <w:r>
            <w:fldChar w:fldCharType="separate"/>
          </w:r>
          <w:r w:rsidR="0AF71021">
            <w:t>1</w:t>
          </w:r>
          <w:r>
            <w:fldChar w:fldCharType="end"/>
          </w:r>
        </w:p>
      </w:tc>
    </w:tr>
  </w:tbl>
  <w:p w14:paraId="48831785" w14:textId="77777777" w:rsidR="00555B2B" w:rsidRDefault="0058077A">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6CF1" w14:textId="77777777" w:rsidR="006E1799" w:rsidRDefault="006E1799">
      <w:r>
        <w:separator/>
      </w:r>
    </w:p>
  </w:footnote>
  <w:footnote w:type="continuationSeparator" w:id="0">
    <w:p w14:paraId="750E7B72" w14:textId="77777777" w:rsidR="006E1799" w:rsidRDefault="006E1799">
      <w:r>
        <w:continuationSeparator/>
      </w:r>
    </w:p>
  </w:footnote>
  <w:footnote w:type="continuationNotice" w:id="1">
    <w:p w14:paraId="4B6EC6EF" w14:textId="77777777" w:rsidR="006E1799" w:rsidRDefault="006E1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04DF2E"/>
    <w:multiLevelType w:val="hybridMultilevel"/>
    <w:tmpl w:val="FFFFFFFF"/>
    <w:lvl w:ilvl="0" w:tplc="C2EA0652">
      <w:start w:val="1"/>
      <w:numFmt w:val="bullet"/>
      <w:lvlText w:val=""/>
      <w:lvlJc w:val="left"/>
      <w:pPr>
        <w:ind w:left="720" w:hanging="360"/>
      </w:pPr>
      <w:rPr>
        <w:rFonts w:ascii="Symbol" w:hAnsi="Symbol" w:hint="default"/>
      </w:rPr>
    </w:lvl>
    <w:lvl w:ilvl="1" w:tplc="B1FE0A84">
      <w:start w:val="1"/>
      <w:numFmt w:val="bullet"/>
      <w:lvlText w:val="o"/>
      <w:lvlJc w:val="left"/>
      <w:pPr>
        <w:ind w:left="1440" w:hanging="360"/>
      </w:pPr>
      <w:rPr>
        <w:rFonts w:ascii="Courier New" w:hAnsi="Courier New" w:hint="default"/>
      </w:rPr>
    </w:lvl>
    <w:lvl w:ilvl="2" w:tplc="C91AA4EE">
      <w:start w:val="1"/>
      <w:numFmt w:val="bullet"/>
      <w:lvlText w:val=""/>
      <w:lvlJc w:val="left"/>
      <w:pPr>
        <w:ind w:left="2160" w:hanging="360"/>
      </w:pPr>
      <w:rPr>
        <w:rFonts w:ascii="Wingdings" w:hAnsi="Wingdings" w:hint="default"/>
      </w:rPr>
    </w:lvl>
    <w:lvl w:ilvl="3" w:tplc="DE74B08E">
      <w:start w:val="1"/>
      <w:numFmt w:val="bullet"/>
      <w:lvlText w:val=""/>
      <w:lvlJc w:val="left"/>
      <w:pPr>
        <w:ind w:left="2880" w:hanging="360"/>
      </w:pPr>
      <w:rPr>
        <w:rFonts w:ascii="Symbol" w:hAnsi="Symbol" w:hint="default"/>
      </w:rPr>
    </w:lvl>
    <w:lvl w:ilvl="4" w:tplc="A9328D2E">
      <w:start w:val="1"/>
      <w:numFmt w:val="bullet"/>
      <w:lvlText w:val="o"/>
      <w:lvlJc w:val="left"/>
      <w:pPr>
        <w:ind w:left="3600" w:hanging="360"/>
      </w:pPr>
      <w:rPr>
        <w:rFonts w:ascii="Courier New" w:hAnsi="Courier New" w:hint="default"/>
      </w:rPr>
    </w:lvl>
    <w:lvl w:ilvl="5" w:tplc="81C27ADC">
      <w:start w:val="1"/>
      <w:numFmt w:val="bullet"/>
      <w:lvlText w:val=""/>
      <w:lvlJc w:val="left"/>
      <w:pPr>
        <w:ind w:left="4320" w:hanging="360"/>
      </w:pPr>
      <w:rPr>
        <w:rFonts w:ascii="Wingdings" w:hAnsi="Wingdings" w:hint="default"/>
      </w:rPr>
    </w:lvl>
    <w:lvl w:ilvl="6" w:tplc="E8CEB65E">
      <w:start w:val="1"/>
      <w:numFmt w:val="bullet"/>
      <w:lvlText w:val=""/>
      <w:lvlJc w:val="left"/>
      <w:pPr>
        <w:ind w:left="5040" w:hanging="360"/>
      </w:pPr>
      <w:rPr>
        <w:rFonts w:ascii="Symbol" w:hAnsi="Symbol" w:hint="default"/>
      </w:rPr>
    </w:lvl>
    <w:lvl w:ilvl="7" w:tplc="E14CAA7A">
      <w:start w:val="1"/>
      <w:numFmt w:val="bullet"/>
      <w:lvlText w:val="o"/>
      <w:lvlJc w:val="left"/>
      <w:pPr>
        <w:ind w:left="5760" w:hanging="360"/>
      </w:pPr>
      <w:rPr>
        <w:rFonts w:ascii="Courier New" w:hAnsi="Courier New" w:hint="default"/>
      </w:rPr>
    </w:lvl>
    <w:lvl w:ilvl="8" w:tplc="B4663076">
      <w:start w:val="1"/>
      <w:numFmt w:val="bullet"/>
      <w:lvlText w:val=""/>
      <w:lvlJc w:val="left"/>
      <w:pPr>
        <w:ind w:left="6480" w:hanging="360"/>
      </w:pPr>
      <w:rPr>
        <w:rFonts w:ascii="Wingdings" w:hAnsi="Wingdings" w:hint="default"/>
      </w:rPr>
    </w:lvl>
  </w:abstractNum>
  <w:abstractNum w:abstractNumId="13"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996492213">
    <w:abstractNumId w:val="12"/>
  </w:num>
  <w:num w:numId="2" w16cid:durableId="1064329912">
    <w:abstractNumId w:val="11"/>
  </w:num>
  <w:num w:numId="3" w16cid:durableId="291448666">
    <w:abstractNumId w:val="9"/>
  </w:num>
  <w:num w:numId="4" w16cid:durableId="1097018623">
    <w:abstractNumId w:val="7"/>
  </w:num>
  <w:num w:numId="5" w16cid:durableId="2003313500">
    <w:abstractNumId w:val="6"/>
  </w:num>
  <w:num w:numId="6" w16cid:durableId="84499580">
    <w:abstractNumId w:val="5"/>
  </w:num>
  <w:num w:numId="7" w16cid:durableId="796220766">
    <w:abstractNumId w:val="4"/>
  </w:num>
  <w:num w:numId="8" w16cid:durableId="1980457301">
    <w:abstractNumId w:val="8"/>
  </w:num>
  <w:num w:numId="9" w16cid:durableId="2031373560">
    <w:abstractNumId w:val="3"/>
  </w:num>
  <w:num w:numId="10" w16cid:durableId="1825777321">
    <w:abstractNumId w:val="2"/>
  </w:num>
  <w:num w:numId="11" w16cid:durableId="1381439624">
    <w:abstractNumId w:val="1"/>
  </w:num>
  <w:num w:numId="12" w16cid:durableId="805589214">
    <w:abstractNumId w:val="0"/>
  </w:num>
  <w:num w:numId="13" w16cid:durableId="1222138407">
    <w:abstractNumId w:val="10"/>
  </w:num>
  <w:num w:numId="14" w16cid:durableId="2012753227">
    <w:abstractNumId w:val="16"/>
  </w:num>
  <w:num w:numId="15" w16cid:durableId="1986549304">
    <w:abstractNumId w:val="14"/>
  </w:num>
  <w:num w:numId="16" w16cid:durableId="1244879447">
    <w:abstractNumId w:val="13"/>
  </w:num>
  <w:num w:numId="17" w16cid:durableId="250046215">
    <w:abstractNumId w:val="15"/>
  </w:num>
  <w:num w:numId="18" w16cid:durableId="13319818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ze3Ef2MpIZVZCZ7A+4ofe1qfo7L5RrMVDQcKzTbNBes5DOJI+9ug5aSynSDDhjH3KF3NyHS6oABe6+HTQsPKQ==" w:salt="1ynWabQFxG+1PYWp+mc62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79E"/>
    <w:rsid w:val="00006999"/>
    <w:rsid w:val="00007A74"/>
    <w:rsid w:val="000101FE"/>
    <w:rsid w:val="000109A7"/>
    <w:rsid w:val="000116B2"/>
    <w:rsid w:val="00012E9D"/>
    <w:rsid w:val="00013481"/>
    <w:rsid w:val="000146AF"/>
    <w:rsid w:val="00014B5F"/>
    <w:rsid w:val="0001643E"/>
    <w:rsid w:val="0001694F"/>
    <w:rsid w:val="00017AEE"/>
    <w:rsid w:val="00017C8C"/>
    <w:rsid w:val="000202EB"/>
    <w:rsid w:val="000204C7"/>
    <w:rsid w:val="00022CF5"/>
    <w:rsid w:val="000237FC"/>
    <w:rsid w:val="000250A9"/>
    <w:rsid w:val="00025502"/>
    <w:rsid w:val="0002592E"/>
    <w:rsid w:val="00025951"/>
    <w:rsid w:val="00025DEC"/>
    <w:rsid w:val="00026149"/>
    <w:rsid w:val="00027899"/>
    <w:rsid w:val="00027FD4"/>
    <w:rsid w:val="00030C85"/>
    <w:rsid w:val="00030D96"/>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4015"/>
    <w:rsid w:val="00065D4E"/>
    <w:rsid w:val="000661A8"/>
    <w:rsid w:val="00066237"/>
    <w:rsid w:val="00066316"/>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1F0D"/>
    <w:rsid w:val="000C20FC"/>
    <w:rsid w:val="000C23F6"/>
    <w:rsid w:val="000C265E"/>
    <w:rsid w:val="000C346A"/>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95E"/>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228"/>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6E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455A"/>
    <w:rsid w:val="0015548F"/>
    <w:rsid w:val="00156045"/>
    <w:rsid w:val="00156205"/>
    <w:rsid w:val="0015704D"/>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39F"/>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3E1D"/>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4F24"/>
    <w:rsid w:val="00194FFB"/>
    <w:rsid w:val="001959CD"/>
    <w:rsid w:val="001964F3"/>
    <w:rsid w:val="00197A7A"/>
    <w:rsid w:val="001A0074"/>
    <w:rsid w:val="001A0F7B"/>
    <w:rsid w:val="001A1131"/>
    <w:rsid w:val="001A226D"/>
    <w:rsid w:val="001A2BE6"/>
    <w:rsid w:val="001A44BB"/>
    <w:rsid w:val="001A4A22"/>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2E8"/>
    <w:rsid w:val="001D3A7D"/>
    <w:rsid w:val="001D4366"/>
    <w:rsid w:val="001D5457"/>
    <w:rsid w:val="001D68CD"/>
    <w:rsid w:val="001D6AF5"/>
    <w:rsid w:val="001D6ECF"/>
    <w:rsid w:val="001D7832"/>
    <w:rsid w:val="001D78ED"/>
    <w:rsid w:val="001D79E2"/>
    <w:rsid w:val="001E1072"/>
    <w:rsid w:val="001E2322"/>
    <w:rsid w:val="001E325A"/>
    <w:rsid w:val="001E3EA8"/>
    <w:rsid w:val="001E4532"/>
    <w:rsid w:val="001E47F6"/>
    <w:rsid w:val="001E4C5B"/>
    <w:rsid w:val="001E4D04"/>
    <w:rsid w:val="001E551F"/>
    <w:rsid w:val="001E5C10"/>
    <w:rsid w:val="001E61D5"/>
    <w:rsid w:val="001E6312"/>
    <w:rsid w:val="001E6E6E"/>
    <w:rsid w:val="001E763D"/>
    <w:rsid w:val="001E7D42"/>
    <w:rsid w:val="001F0B25"/>
    <w:rsid w:val="001F1BE7"/>
    <w:rsid w:val="001F2FC4"/>
    <w:rsid w:val="001F3C7D"/>
    <w:rsid w:val="001F3CB4"/>
    <w:rsid w:val="001F3FB1"/>
    <w:rsid w:val="001F68DE"/>
    <w:rsid w:val="001F753C"/>
    <w:rsid w:val="001F761A"/>
    <w:rsid w:val="0020134F"/>
    <w:rsid w:val="002028BF"/>
    <w:rsid w:val="00203C89"/>
    <w:rsid w:val="00204041"/>
    <w:rsid w:val="00204CFE"/>
    <w:rsid w:val="00204E13"/>
    <w:rsid w:val="00205644"/>
    <w:rsid w:val="00205CCE"/>
    <w:rsid w:val="00207A05"/>
    <w:rsid w:val="00210BE4"/>
    <w:rsid w:val="00210DF6"/>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108A"/>
    <w:rsid w:val="002721FA"/>
    <w:rsid w:val="00272758"/>
    <w:rsid w:val="00272E1D"/>
    <w:rsid w:val="00274967"/>
    <w:rsid w:val="00275F5E"/>
    <w:rsid w:val="00276096"/>
    <w:rsid w:val="002764CB"/>
    <w:rsid w:val="0027673E"/>
    <w:rsid w:val="00277A52"/>
    <w:rsid w:val="00277D0B"/>
    <w:rsid w:val="0028052A"/>
    <w:rsid w:val="002805C4"/>
    <w:rsid w:val="00280982"/>
    <w:rsid w:val="00283CA8"/>
    <w:rsid w:val="002845D3"/>
    <w:rsid w:val="00284AD9"/>
    <w:rsid w:val="00284E5C"/>
    <w:rsid w:val="00285752"/>
    <w:rsid w:val="0028792C"/>
    <w:rsid w:val="002879F1"/>
    <w:rsid w:val="002905D8"/>
    <w:rsid w:val="00290DB9"/>
    <w:rsid w:val="00291155"/>
    <w:rsid w:val="00291F7B"/>
    <w:rsid w:val="00292ECE"/>
    <w:rsid w:val="002940C6"/>
    <w:rsid w:val="0029473E"/>
    <w:rsid w:val="00294B1B"/>
    <w:rsid w:val="00294CA9"/>
    <w:rsid w:val="00295998"/>
    <w:rsid w:val="00295ACB"/>
    <w:rsid w:val="0029609E"/>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67D1"/>
    <w:rsid w:val="002A7146"/>
    <w:rsid w:val="002B0FFA"/>
    <w:rsid w:val="002B260A"/>
    <w:rsid w:val="002B57CF"/>
    <w:rsid w:val="002B67A3"/>
    <w:rsid w:val="002B6D7A"/>
    <w:rsid w:val="002C12CE"/>
    <w:rsid w:val="002C155C"/>
    <w:rsid w:val="002C2FAB"/>
    <w:rsid w:val="002C3395"/>
    <w:rsid w:val="002C4269"/>
    <w:rsid w:val="002C451D"/>
    <w:rsid w:val="002C547E"/>
    <w:rsid w:val="002C55DF"/>
    <w:rsid w:val="002C5E67"/>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0D5"/>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702"/>
    <w:rsid w:val="003118D7"/>
    <w:rsid w:val="00312833"/>
    <w:rsid w:val="00312C1B"/>
    <w:rsid w:val="00313614"/>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07"/>
    <w:rsid w:val="00335120"/>
    <w:rsid w:val="003371DB"/>
    <w:rsid w:val="00337C8A"/>
    <w:rsid w:val="003404B4"/>
    <w:rsid w:val="0034130D"/>
    <w:rsid w:val="0034133C"/>
    <w:rsid w:val="003416A3"/>
    <w:rsid w:val="00341BA7"/>
    <w:rsid w:val="00342143"/>
    <w:rsid w:val="0034290E"/>
    <w:rsid w:val="00342F57"/>
    <w:rsid w:val="00343C91"/>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0155"/>
    <w:rsid w:val="00361CC3"/>
    <w:rsid w:val="00362941"/>
    <w:rsid w:val="00362ACB"/>
    <w:rsid w:val="00362BC6"/>
    <w:rsid w:val="00362BEC"/>
    <w:rsid w:val="003636A4"/>
    <w:rsid w:val="00365CE8"/>
    <w:rsid w:val="00367870"/>
    <w:rsid w:val="00370741"/>
    <w:rsid w:val="0037146A"/>
    <w:rsid w:val="0037176A"/>
    <w:rsid w:val="00371907"/>
    <w:rsid w:val="003733EA"/>
    <w:rsid w:val="00375479"/>
    <w:rsid w:val="0037664B"/>
    <w:rsid w:val="0037754F"/>
    <w:rsid w:val="00377ACE"/>
    <w:rsid w:val="00380C4B"/>
    <w:rsid w:val="003814EF"/>
    <w:rsid w:val="00383267"/>
    <w:rsid w:val="003837F6"/>
    <w:rsid w:val="00383DA8"/>
    <w:rsid w:val="00384469"/>
    <w:rsid w:val="0038596A"/>
    <w:rsid w:val="00387D83"/>
    <w:rsid w:val="00390366"/>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D8A"/>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3E58"/>
    <w:rsid w:val="00404530"/>
    <w:rsid w:val="00404C37"/>
    <w:rsid w:val="004058BD"/>
    <w:rsid w:val="0040597B"/>
    <w:rsid w:val="0040778D"/>
    <w:rsid w:val="00410A65"/>
    <w:rsid w:val="00411084"/>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7ED"/>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7A4"/>
    <w:rsid w:val="00450FE7"/>
    <w:rsid w:val="00451AA9"/>
    <w:rsid w:val="00451C8B"/>
    <w:rsid w:val="00452EC7"/>
    <w:rsid w:val="00453175"/>
    <w:rsid w:val="00453780"/>
    <w:rsid w:val="0045398A"/>
    <w:rsid w:val="00453AC7"/>
    <w:rsid w:val="00454FE3"/>
    <w:rsid w:val="00455495"/>
    <w:rsid w:val="00455FD2"/>
    <w:rsid w:val="0045736A"/>
    <w:rsid w:val="00460DF1"/>
    <w:rsid w:val="00461BB7"/>
    <w:rsid w:val="00462D8A"/>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5DBB"/>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867"/>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2616"/>
    <w:rsid w:val="004B35BC"/>
    <w:rsid w:val="004B3E8D"/>
    <w:rsid w:val="004B3FD6"/>
    <w:rsid w:val="004B50AE"/>
    <w:rsid w:val="004B5691"/>
    <w:rsid w:val="004B757F"/>
    <w:rsid w:val="004C0183"/>
    <w:rsid w:val="004C0761"/>
    <w:rsid w:val="004C125A"/>
    <w:rsid w:val="004C1830"/>
    <w:rsid w:val="004C204C"/>
    <w:rsid w:val="004C23A2"/>
    <w:rsid w:val="004C2625"/>
    <w:rsid w:val="004C280F"/>
    <w:rsid w:val="004C3628"/>
    <w:rsid w:val="004C468D"/>
    <w:rsid w:val="004C554B"/>
    <w:rsid w:val="004C5CFA"/>
    <w:rsid w:val="004C753E"/>
    <w:rsid w:val="004C7780"/>
    <w:rsid w:val="004C7E89"/>
    <w:rsid w:val="004D06F3"/>
    <w:rsid w:val="004D0F87"/>
    <w:rsid w:val="004D17F4"/>
    <w:rsid w:val="004D3AE0"/>
    <w:rsid w:val="004D5110"/>
    <w:rsid w:val="004D52DA"/>
    <w:rsid w:val="004D69FB"/>
    <w:rsid w:val="004E06E9"/>
    <w:rsid w:val="004E0FAB"/>
    <w:rsid w:val="004E2908"/>
    <w:rsid w:val="004E2C11"/>
    <w:rsid w:val="004E2E25"/>
    <w:rsid w:val="004E4A98"/>
    <w:rsid w:val="004E4DA2"/>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6D39"/>
    <w:rsid w:val="005074B6"/>
    <w:rsid w:val="00510478"/>
    <w:rsid w:val="005104BB"/>
    <w:rsid w:val="00511841"/>
    <w:rsid w:val="00511A6D"/>
    <w:rsid w:val="00512153"/>
    <w:rsid w:val="00512BBA"/>
    <w:rsid w:val="00514468"/>
    <w:rsid w:val="00514DDE"/>
    <w:rsid w:val="00515ECB"/>
    <w:rsid w:val="0051625A"/>
    <w:rsid w:val="00516644"/>
    <w:rsid w:val="00517C3B"/>
    <w:rsid w:val="00520331"/>
    <w:rsid w:val="00521B6A"/>
    <w:rsid w:val="0052234D"/>
    <w:rsid w:val="00522AD1"/>
    <w:rsid w:val="00522EE4"/>
    <w:rsid w:val="00523155"/>
    <w:rsid w:val="005231CD"/>
    <w:rsid w:val="00523217"/>
    <w:rsid w:val="00523FE3"/>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5B2B"/>
    <w:rsid w:val="00556658"/>
    <w:rsid w:val="00556A53"/>
    <w:rsid w:val="0055774F"/>
    <w:rsid w:val="005578DD"/>
    <w:rsid w:val="00557A63"/>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77A"/>
    <w:rsid w:val="00580B63"/>
    <w:rsid w:val="005816FC"/>
    <w:rsid w:val="00581869"/>
    <w:rsid w:val="0058308F"/>
    <w:rsid w:val="005838F8"/>
    <w:rsid w:val="00583B84"/>
    <w:rsid w:val="00583D2D"/>
    <w:rsid w:val="0058430F"/>
    <w:rsid w:val="00584916"/>
    <w:rsid w:val="00584C2C"/>
    <w:rsid w:val="00584FE1"/>
    <w:rsid w:val="005856C6"/>
    <w:rsid w:val="005861B6"/>
    <w:rsid w:val="00586608"/>
    <w:rsid w:val="00587626"/>
    <w:rsid w:val="00587CD5"/>
    <w:rsid w:val="00590360"/>
    <w:rsid w:val="005906FE"/>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13D"/>
    <w:rsid w:val="005A160A"/>
    <w:rsid w:val="005A1836"/>
    <w:rsid w:val="005A185B"/>
    <w:rsid w:val="005A2798"/>
    <w:rsid w:val="005A3617"/>
    <w:rsid w:val="005A384F"/>
    <w:rsid w:val="005A4364"/>
    <w:rsid w:val="005A4F61"/>
    <w:rsid w:val="005A56A4"/>
    <w:rsid w:val="005A6341"/>
    <w:rsid w:val="005A6511"/>
    <w:rsid w:val="005A69FA"/>
    <w:rsid w:val="005A6EB7"/>
    <w:rsid w:val="005A7196"/>
    <w:rsid w:val="005A7B5B"/>
    <w:rsid w:val="005B0DB3"/>
    <w:rsid w:val="005B1537"/>
    <w:rsid w:val="005B3518"/>
    <w:rsid w:val="005B41CA"/>
    <w:rsid w:val="005B71FB"/>
    <w:rsid w:val="005B7BB3"/>
    <w:rsid w:val="005B7D49"/>
    <w:rsid w:val="005C1A32"/>
    <w:rsid w:val="005C1B2E"/>
    <w:rsid w:val="005C2650"/>
    <w:rsid w:val="005C2DDC"/>
    <w:rsid w:val="005C52A4"/>
    <w:rsid w:val="005C669F"/>
    <w:rsid w:val="005C6D04"/>
    <w:rsid w:val="005C7953"/>
    <w:rsid w:val="005CD6BD"/>
    <w:rsid w:val="005D0D3F"/>
    <w:rsid w:val="005D0FEB"/>
    <w:rsid w:val="005D112C"/>
    <w:rsid w:val="005D1834"/>
    <w:rsid w:val="005D259B"/>
    <w:rsid w:val="005D28B7"/>
    <w:rsid w:val="005D52FB"/>
    <w:rsid w:val="005D53B6"/>
    <w:rsid w:val="005D6411"/>
    <w:rsid w:val="005D6D7E"/>
    <w:rsid w:val="005D725E"/>
    <w:rsid w:val="005E0758"/>
    <w:rsid w:val="005E1EE9"/>
    <w:rsid w:val="005E2645"/>
    <w:rsid w:val="005E3318"/>
    <w:rsid w:val="005E4A61"/>
    <w:rsid w:val="005E53B1"/>
    <w:rsid w:val="005E5820"/>
    <w:rsid w:val="005E624A"/>
    <w:rsid w:val="005E6622"/>
    <w:rsid w:val="005E737E"/>
    <w:rsid w:val="005E7F95"/>
    <w:rsid w:val="005F1099"/>
    <w:rsid w:val="005F13D3"/>
    <w:rsid w:val="005F16D8"/>
    <w:rsid w:val="005F1DA2"/>
    <w:rsid w:val="005F2535"/>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0CB0"/>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51E8"/>
    <w:rsid w:val="00626214"/>
    <w:rsid w:val="00626273"/>
    <w:rsid w:val="00626D6A"/>
    <w:rsid w:val="00626E96"/>
    <w:rsid w:val="006274A4"/>
    <w:rsid w:val="006278C0"/>
    <w:rsid w:val="00630290"/>
    <w:rsid w:val="00631481"/>
    <w:rsid w:val="00631E30"/>
    <w:rsid w:val="00632E3D"/>
    <w:rsid w:val="00633253"/>
    <w:rsid w:val="00634300"/>
    <w:rsid w:val="006343B2"/>
    <w:rsid w:val="00634663"/>
    <w:rsid w:val="00634978"/>
    <w:rsid w:val="00634F83"/>
    <w:rsid w:val="00635656"/>
    <w:rsid w:val="00635C86"/>
    <w:rsid w:val="006366EC"/>
    <w:rsid w:val="00637636"/>
    <w:rsid w:val="00637A2D"/>
    <w:rsid w:val="00640D75"/>
    <w:rsid w:val="00641878"/>
    <w:rsid w:val="00644A8B"/>
    <w:rsid w:val="006451A0"/>
    <w:rsid w:val="00645C20"/>
    <w:rsid w:val="00647A68"/>
    <w:rsid w:val="00647D86"/>
    <w:rsid w:val="00652006"/>
    <w:rsid w:val="0065246C"/>
    <w:rsid w:val="00654B4C"/>
    <w:rsid w:val="00654D27"/>
    <w:rsid w:val="00654F15"/>
    <w:rsid w:val="0065549B"/>
    <w:rsid w:val="00662459"/>
    <w:rsid w:val="00662C83"/>
    <w:rsid w:val="006637A3"/>
    <w:rsid w:val="006651FC"/>
    <w:rsid w:val="00665241"/>
    <w:rsid w:val="00665277"/>
    <w:rsid w:val="006655A4"/>
    <w:rsid w:val="0066565D"/>
    <w:rsid w:val="0066591D"/>
    <w:rsid w:val="00665BB5"/>
    <w:rsid w:val="006664DF"/>
    <w:rsid w:val="00667667"/>
    <w:rsid w:val="00667719"/>
    <w:rsid w:val="00671C60"/>
    <w:rsid w:val="00672625"/>
    <w:rsid w:val="00672E7A"/>
    <w:rsid w:val="006736ED"/>
    <w:rsid w:val="006738AF"/>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253"/>
    <w:rsid w:val="006C1381"/>
    <w:rsid w:val="006C1C1B"/>
    <w:rsid w:val="006C1C34"/>
    <w:rsid w:val="006C1DD6"/>
    <w:rsid w:val="006C21D4"/>
    <w:rsid w:val="006C339E"/>
    <w:rsid w:val="006C346C"/>
    <w:rsid w:val="006C3518"/>
    <w:rsid w:val="006C3FD7"/>
    <w:rsid w:val="006C44E9"/>
    <w:rsid w:val="006C450A"/>
    <w:rsid w:val="006C4B84"/>
    <w:rsid w:val="006C4C77"/>
    <w:rsid w:val="006C5CD5"/>
    <w:rsid w:val="006C734D"/>
    <w:rsid w:val="006C7539"/>
    <w:rsid w:val="006C7D23"/>
    <w:rsid w:val="006D1BF1"/>
    <w:rsid w:val="006D2513"/>
    <w:rsid w:val="006D34BA"/>
    <w:rsid w:val="006D3F29"/>
    <w:rsid w:val="006D3FDB"/>
    <w:rsid w:val="006D4845"/>
    <w:rsid w:val="006D5878"/>
    <w:rsid w:val="006D658C"/>
    <w:rsid w:val="006D77EE"/>
    <w:rsid w:val="006E0491"/>
    <w:rsid w:val="006E0BAE"/>
    <w:rsid w:val="006E1799"/>
    <w:rsid w:val="006E229B"/>
    <w:rsid w:val="006E25C5"/>
    <w:rsid w:val="006E282A"/>
    <w:rsid w:val="006E3482"/>
    <w:rsid w:val="006E36E6"/>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79F"/>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6660"/>
    <w:rsid w:val="007172F1"/>
    <w:rsid w:val="00720386"/>
    <w:rsid w:val="00720AF1"/>
    <w:rsid w:val="00720EDD"/>
    <w:rsid w:val="0072118D"/>
    <w:rsid w:val="00721618"/>
    <w:rsid w:val="00721913"/>
    <w:rsid w:val="00721B86"/>
    <w:rsid w:val="00721DB8"/>
    <w:rsid w:val="00721F36"/>
    <w:rsid w:val="00722326"/>
    <w:rsid w:val="00722B5D"/>
    <w:rsid w:val="0072452E"/>
    <w:rsid w:val="00725EA1"/>
    <w:rsid w:val="00726916"/>
    <w:rsid w:val="00726A4A"/>
    <w:rsid w:val="0072704E"/>
    <w:rsid w:val="007333B9"/>
    <w:rsid w:val="0073427D"/>
    <w:rsid w:val="00734729"/>
    <w:rsid w:val="0073540A"/>
    <w:rsid w:val="00736BFB"/>
    <w:rsid w:val="007412C3"/>
    <w:rsid w:val="0074344B"/>
    <w:rsid w:val="00743CA8"/>
    <w:rsid w:val="007444F7"/>
    <w:rsid w:val="007459B8"/>
    <w:rsid w:val="00745E9A"/>
    <w:rsid w:val="00746C78"/>
    <w:rsid w:val="007474FD"/>
    <w:rsid w:val="0075079F"/>
    <w:rsid w:val="00750EA1"/>
    <w:rsid w:val="00752484"/>
    <w:rsid w:val="007575E9"/>
    <w:rsid w:val="007577DC"/>
    <w:rsid w:val="0076214F"/>
    <w:rsid w:val="0076347F"/>
    <w:rsid w:val="00764377"/>
    <w:rsid w:val="007649B9"/>
    <w:rsid w:val="00765FC2"/>
    <w:rsid w:val="00766DBF"/>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963"/>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4C2"/>
    <w:rsid w:val="007B0DDC"/>
    <w:rsid w:val="007B11DD"/>
    <w:rsid w:val="007B153F"/>
    <w:rsid w:val="007B2073"/>
    <w:rsid w:val="007B24CD"/>
    <w:rsid w:val="007B262D"/>
    <w:rsid w:val="007B312F"/>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256"/>
    <w:rsid w:val="007F0B07"/>
    <w:rsid w:val="007F0D98"/>
    <w:rsid w:val="007F0F2B"/>
    <w:rsid w:val="007F1CE6"/>
    <w:rsid w:val="007F2D62"/>
    <w:rsid w:val="007F2E0A"/>
    <w:rsid w:val="007F4762"/>
    <w:rsid w:val="007F47D9"/>
    <w:rsid w:val="007F4D10"/>
    <w:rsid w:val="007F6A7A"/>
    <w:rsid w:val="007F6BCC"/>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DAE"/>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8C"/>
    <w:rsid w:val="008425D0"/>
    <w:rsid w:val="0084334C"/>
    <w:rsid w:val="00843642"/>
    <w:rsid w:val="00843AAA"/>
    <w:rsid w:val="00843E58"/>
    <w:rsid w:val="0084478E"/>
    <w:rsid w:val="00844A61"/>
    <w:rsid w:val="00844CC9"/>
    <w:rsid w:val="008457F6"/>
    <w:rsid w:val="00846262"/>
    <w:rsid w:val="0085019A"/>
    <w:rsid w:val="00850C1C"/>
    <w:rsid w:val="00851368"/>
    <w:rsid w:val="00851AD2"/>
    <w:rsid w:val="00851E89"/>
    <w:rsid w:val="00851F26"/>
    <w:rsid w:val="00852869"/>
    <w:rsid w:val="00854867"/>
    <w:rsid w:val="00855ADE"/>
    <w:rsid w:val="00855CE3"/>
    <w:rsid w:val="00856274"/>
    <w:rsid w:val="00856558"/>
    <w:rsid w:val="00856DB6"/>
    <w:rsid w:val="00857277"/>
    <w:rsid w:val="008572F7"/>
    <w:rsid w:val="008573DE"/>
    <w:rsid w:val="00857457"/>
    <w:rsid w:val="0085753E"/>
    <w:rsid w:val="00857F56"/>
    <w:rsid w:val="0086024D"/>
    <w:rsid w:val="00860487"/>
    <w:rsid w:val="0086063B"/>
    <w:rsid w:val="008606E9"/>
    <w:rsid w:val="00860CD7"/>
    <w:rsid w:val="00860E0D"/>
    <w:rsid w:val="008613B8"/>
    <w:rsid w:val="008632C2"/>
    <w:rsid w:val="0086339E"/>
    <w:rsid w:val="008642E9"/>
    <w:rsid w:val="00864921"/>
    <w:rsid w:val="0086664F"/>
    <w:rsid w:val="00866BFC"/>
    <w:rsid w:val="0086736A"/>
    <w:rsid w:val="008674B6"/>
    <w:rsid w:val="008676F3"/>
    <w:rsid w:val="00867D4F"/>
    <w:rsid w:val="008713A2"/>
    <w:rsid w:val="00871B14"/>
    <w:rsid w:val="00871F8E"/>
    <w:rsid w:val="008721DD"/>
    <w:rsid w:val="00872276"/>
    <w:rsid w:val="00872E44"/>
    <w:rsid w:val="00873017"/>
    <w:rsid w:val="00873C21"/>
    <w:rsid w:val="00873F89"/>
    <w:rsid w:val="008740E2"/>
    <w:rsid w:val="00875248"/>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0DA4"/>
    <w:rsid w:val="008A159B"/>
    <w:rsid w:val="008A16BE"/>
    <w:rsid w:val="008A1B54"/>
    <w:rsid w:val="008A1DE9"/>
    <w:rsid w:val="008A3FAF"/>
    <w:rsid w:val="008A401F"/>
    <w:rsid w:val="008A5A76"/>
    <w:rsid w:val="008A689A"/>
    <w:rsid w:val="008A6E06"/>
    <w:rsid w:val="008B2D5E"/>
    <w:rsid w:val="008B37DF"/>
    <w:rsid w:val="008B520B"/>
    <w:rsid w:val="008B564C"/>
    <w:rsid w:val="008B660A"/>
    <w:rsid w:val="008B6AC5"/>
    <w:rsid w:val="008B6E72"/>
    <w:rsid w:val="008B7F12"/>
    <w:rsid w:val="008C007A"/>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0A7"/>
    <w:rsid w:val="008D7C99"/>
    <w:rsid w:val="008D7F12"/>
    <w:rsid w:val="008E0238"/>
    <w:rsid w:val="008E1598"/>
    <w:rsid w:val="008E166F"/>
    <w:rsid w:val="008E286E"/>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4F1B"/>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238"/>
    <w:rsid w:val="0098781B"/>
    <w:rsid w:val="0099006D"/>
    <w:rsid w:val="009942B9"/>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BD0AE"/>
    <w:rsid w:val="009C0F54"/>
    <w:rsid w:val="009C2327"/>
    <w:rsid w:val="009C34FD"/>
    <w:rsid w:val="009C5181"/>
    <w:rsid w:val="009C6626"/>
    <w:rsid w:val="009C72D3"/>
    <w:rsid w:val="009C7430"/>
    <w:rsid w:val="009D045B"/>
    <w:rsid w:val="009D05DF"/>
    <w:rsid w:val="009D1AE9"/>
    <w:rsid w:val="009D2206"/>
    <w:rsid w:val="009D220D"/>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7FD"/>
    <w:rsid w:val="009F1D78"/>
    <w:rsid w:val="009F2698"/>
    <w:rsid w:val="009F2716"/>
    <w:rsid w:val="009F27DE"/>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276"/>
    <w:rsid w:val="00A464AC"/>
    <w:rsid w:val="00A472D6"/>
    <w:rsid w:val="00A478EC"/>
    <w:rsid w:val="00A47A34"/>
    <w:rsid w:val="00A5008B"/>
    <w:rsid w:val="00A50E4F"/>
    <w:rsid w:val="00A5112F"/>
    <w:rsid w:val="00A516FD"/>
    <w:rsid w:val="00A5173B"/>
    <w:rsid w:val="00A51B24"/>
    <w:rsid w:val="00A526F0"/>
    <w:rsid w:val="00A52A81"/>
    <w:rsid w:val="00A53367"/>
    <w:rsid w:val="00A56195"/>
    <w:rsid w:val="00A56364"/>
    <w:rsid w:val="00A5698A"/>
    <w:rsid w:val="00A60422"/>
    <w:rsid w:val="00A616FC"/>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8BB9D"/>
    <w:rsid w:val="00A90D09"/>
    <w:rsid w:val="00A91ABA"/>
    <w:rsid w:val="00A91BE5"/>
    <w:rsid w:val="00A920A8"/>
    <w:rsid w:val="00A927AC"/>
    <w:rsid w:val="00A94A83"/>
    <w:rsid w:val="00A9523E"/>
    <w:rsid w:val="00A95275"/>
    <w:rsid w:val="00A9535D"/>
    <w:rsid w:val="00A95BCA"/>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4E39"/>
    <w:rsid w:val="00AD6239"/>
    <w:rsid w:val="00AD6388"/>
    <w:rsid w:val="00AD75A9"/>
    <w:rsid w:val="00AD777E"/>
    <w:rsid w:val="00AD7D57"/>
    <w:rsid w:val="00AD7E03"/>
    <w:rsid w:val="00AD7F25"/>
    <w:rsid w:val="00AE224C"/>
    <w:rsid w:val="00AE3650"/>
    <w:rsid w:val="00AE3AC5"/>
    <w:rsid w:val="00AE3E06"/>
    <w:rsid w:val="00AE47C7"/>
    <w:rsid w:val="00AE4853"/>
    <w:rsid w:val="00AE49F8"/>
    <w:rsid w:val="00AE56FA"/>
    <w:rsid w:val="00AE5B27"/>
    <w:rsid w:val="00AE6801"/>
    <w:rsid w:val="00AE6E53"/>
    <w:rsid w:val="00AE6EDD"/>
    <w:rsid w:val="00AF0EAF"/>
    <w:rsid w:val="00AF1352"/>
    <w:rsid w:val="00AF1CA3"/>
    <w:rsid w:val="00AF1CEF"/>
    <w:rsid w:val="00AF26F7"/>
    <w:rsid w:val="00AF2BBB"/>
    <w:rsid w:val="00AF5886"/>
    <w:rsid w:val="00AF67B4"/>
    <w:rsid w:val="00AF6B65"/>
    <w:rsid w:val="00AF738F"/>
    <w:rsid w:val="00AF7761"/>
    <w:rsid w:val="00B01222"/>
    <w:rsid w:val="00B0187F"/>
    <w:rsid w:val="00B0357F"/>
    <w:rsid w:val="00B03E07"/>
    <w:rsid w:val="00B041F4"/>
    <w:rsid w:val="00B047A5"/>
    <w:rsid w:val="00B04BD3"/>
    <w:rsid w:val="00B05126"/>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D4E"/>
    <w:rsid w:val="00B26F08"/>
    <w:rsid w:val="00B33732"/>
    <w:rsid w:val="00B33834"/>
    <w:rsid w:val="00B33D58"/>
    <w:rsid w:val="00B357D4"/>
    <w:rsid w:val="00B36132"/>
    <w:rsid w:val="00B366A0"/>
    <w:rsid w:val="00B376C0"/>
    <w:rsid w:val="00B37CA2"/>
    <w:rsid w:val="00B403DC"/>
    <w:rsid w:val="00B40620"/>
    <w:rsid w:val="00B40C82"/>
    <w:rsid w:val="00B42F80"/>
    <w:rsid w:val="00B4451A"/>
    <w:rsid w:val="00B44F9B"/>
    <w:rsid w:val="00B458D2"/>
    <w:rsid w:val="00B46B8D"/>
    <w:rsid w:val="00B477AA"/>
    <w:rsid w:val="00B47E81"/>
    <w:rsid w:val="00B5040D"/>
    <w:rsid w:val="00B511B1"/>
    <w:rsid w:val="00B511C4"/>
    <w:rsid w:val="00B51A91"/>
    <w:rsid w:val="00B539A8"/>
    <w:rsid w:val="00B53D88"/>
    <w:rsid w:val="00B53EB1"/>
    <w:rsid w:val="00B554D3"/>
    <w:rsid w:val="00B55995"/>
    <w:rsid w:val="00B56174"/>
    <w:rsid w:val="00B57E44"/>
    <w:rsid w:val="00B60981"/>
    <w:rsid w:val="00B60B2D"/>
    <w:rsid w:val="00B6174C"/>
    <w:rsid w:val="00B62375"/>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4261"/>
    <w:rsid w:val="00B86009"/>
    <w:rsid w:val="00B87131"/>
    <w:rsid w:val="00B87DD9"/>
    <w:rsid w:val="00B92720"/>
    <w:rsid w:val="00B92AD3"/>
    <w:rsid w:val="00B94010"/>
    <w:rsid w:val="00B94097"/>
    <w:rsid w:val="00B95335"/>
    <w:rsid w:val="00B95778"/>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5F78"/>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4D28"/>
    <w:rsid w:val="00BB5FED"/>
    <w:rsid w:val="00BB62A9"/>
    <w:rsid w:val="00BB73E7"/>
    <w:rsid w:val="00BB7CA0"/>
    <w:rsid w:val="00BC044D"/>
    <w:rsid w:val="00BC0A4E"/>
    <w:rsid w:val="00BC123D"/>
    <w:rsid w:val="00BC14C9"/>
    <w:rsid w:val="00BC1E01"/>
    <w:rsid w:val="00BC2B6F"/>
    <w:rsid w:val="00BC3EDC"/>
    <w:rsid w:val="00BC4CBA"/>
    <w:rsid w:val="00BC5902"/>
    <w:rsid w:val="00BC5B59"/>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5E47"/>
    <w:rsid w:val="00BD6424"/>
    <w:rsid w:val="00BD767E"/>
    <w:rsid w:val="00BD7B4D"/>
    <w:rsid w:val="00BD7E10"/>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4037"/>
    <w:rsid w:val="00BF633C"/>
    <w:rsid w:val="00BF7A8C"/>
    <w:rsid w:val="00BF7D3F"/>
    <w:rsid w:val="00C004C8"/>
    <w:rsid w:val="00C02892"/>
    <w:rsid w:val="00C0297C"/>
    <w:rsid w:val="00C029B2"/>
    <w:rsid w:val="00C032A8"/>
    <w:rsid w:val="00C03BB9"/>
    <w:rsid w:val="00C04487"/>
    <w:rsid w:val="00C04F43"/>
    <w:rsid w:val="00C05B04"/>
    <w:rsid w:val="00C05C62"/>
    <w:rsid w:val="00C10594"/>
    <w:rsid w:val="00C106B0"/>
    <w:rsid w:val="00C11FA2"/>
    <w:rsid w:val="00C12867"/>
    <w:rsid w:val="00C12AAF"/>
    <w:rsid w:val="00C13610"/>
    <w:rsid w:val="00C13C7A"/>
    <w:rsid w:val="00C142F5"/>
    <w:rsid w:val="00C14B7E"/>
    <w:rsid w:val="00C14C1B"/>
    <w:rsid w:val="00C15218"/>
    <w:rsid w:val="00C15387"/>
    <w:rsid w:val="00C15882"/>
    <w:rsid w:val="00C16DF1"/>
    <w:rsid w:val="00C17326"/>
    <w:rsid w:val="00C21726"/>
    <w:rsid w:val="00C218DF"/>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4AA5"/>
    <w:rsid w:val="00C35260"/>
    <w:rsid w:val="00C355D8"/>
    <w:rsid w:val="00C36613"/>
    <w:rsid w:val="00C36A1E"/>
    <w:rsid w:val="00C3755F"/>
    <w:rsid w:val="00C401DB"/>
    <w:rsid w:val="00C42AC6"/>
    <w:rsid w:val="00C42CC5"/>
    <w:rsid w:val="00C4359B"/>
    <w:rsid w:val="00C44187"/>
    <w:rsid w:val="00C44469"/>
    <w:rsid w:val="00C453CA"/>
    <w:rsid w:val="00C45606"/>
    <w:rsid w:val="00C50251"/>
    <w:rsid w:val="00C52410"/>
    <w:rsid w:val="00C52D52"/>
    <w:rsid w:val="00C52F79"/>
    <w:rsid w:val="00C52FFB"/>
    <w:rsid w:val="00C541DF"/>
    <w:rsid w:val="00C55BB0"/>
    <w:rsid w:val="00C563DA"/>
    <w:rsid w:val="00C577CE"/>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61F"/>
    <w:rsid w:val="00CB5949"/>
    <w:rsid w:val="00CB5CC5"/>
    <w:rsid w:val="00CB5D8C"/>
    <w:rsid w:val="00CB6128"/>
    <w:rsid w:val="00CB61C1"/>
    <w:rsid w:val="00CB63E6"/>
    <w:rsid w:val="00CB78CF"/>
    <w:rsid w:val="00CB7EC6"/>
    <w:rsid w:val="00CB7F3D"/>
    <w:rsid w:val="00CC1086"/>
    <w:rsid w:val="00CC1A1D"/>
    <w:rsid w:val="00CC1C33"/>
    <w:rsid w:val="00CC283E"/>
    <w:rsid w:val="00CC2DD1"/>
    <w:rsid w:val="00CC44E1"/>
    <w:rsid w:val="00CC52F1"/>
    <w:rsid w:val="00CC59CB"/>
    <w:rsid w:val="00CC7632"/>
    <w:rsid w:val="00CC792A"/>
    <w:rsid w:val="00CD0A1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66B9"/>
    <w:rsid w:val="00D07407"/>
    <w:rsid w:val="00D07D6B"/>
    <w:rsid w:val="00D1025E"/>
    <w:rsid w:val="00D105A4"/>
    <w:rsid w:val="00D109F3"/>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6B0"/>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5BA8"/>
    <w:rsid w:val="00D46D9A"/>
    <w:rsid w:val="00D47A86"/>
    <w:rsid w:val="00D50962"/>
    <w:rsid w:val="00D50E02"/>
    <w:rsid w:val="00D51945"/>
    <w:rsid w:val="00D51A79"/>
    <w:rsid w:val="00D5234C"/>
    <w:rsid w:val="00D53996"/>
    <w:rsid w:val="00D53C0D"/>
    <w:rsid w:val="00D53DD9"/>
    <w:rsid w:val="00D54E3B"/>
    <w:rsid w:val="00D5506A"/>
    <w:rsid w:val="00D558D4"/>
    <w:rsid w:val="00D56739"/>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6779D"/>
    <w:rsid w:val="00D70394"/>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39C5"/>
    <w:rsid w:val="00D943C4"/>
    <w:rsid w:val="00D94546"/>
    <w:rsid w:val="00D94862"/>
    <w:rsid w:val="00D95A32"/>
    <w:rsid w:val="00D962EA"/>
    <w:rsid w:val="00D9647E"/>
    <w:rsid w:val="00D96BBA"/>
    <w:rsid w:val="00D97088"/>
    <w:rsid w:val="00D975BC"/>
    <w:rsid w:val="00D97E54"/>
    <w:rsid w:val="00DA034F"/>
    <w:rsid w:val="00DA0719"/>
    <w:rsid w:val="00DA1500"/>
    <w:rsid w:val="00DA1813"/>
    <w:rsid w:val="00DA2EE4"/>
    <w:rsid w:val="00DA3582"/>
    <w:rsid w:val="00DA44F1"/>
    <w:rsid w:val="00DA5769"/>
    <w:rsid w:val="00DA59B1"/>
    <w:rsid w:val="00DA6B0D"/>
    <w:rsid w:val="00DB0259"/>
    <w:rsid w:val="00DB07B7"/>
    <w:rsid w:val="00DB1161"/>
    <w:rsid w:val="00DB2061"/>
    <w:rsid w:val="00DB2BC2"/>
    <w:rsid w:val="00DB31AB"/>
    <w:rsid w:val="00DB3AF5"/>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6FD6"/>
    <w:rsid w:val="00E173AB"/>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40E0"/>
    <w:rsid w:val="00E3662B"/>
    <w:rsid w:val="00E401D2"/>
    <w:rsid w:val="00E41391"/>
    <w:rsid w:val="00E4156B"/>
    <w:rsid w:val="00E420F3"/>
    <w:rsid w:val="00E424A7"/>
    <w:rsid w:val="00E42E3C"/>
    <w:rsid w:val="00E43012"/>
    <w:rsid w:val="00E445F6"/>
    <w:rsid w:val="00E44A79"/>
    <w:rsid w:val="00E44FFD"/>
    <w:rsid w:val="00E45229"/>
    <w:rsid w:val="00E47A50"/>
    <w:rsid w:val="00E47DC8"/>
    <w:rsid w:val="00E5039C"/>
    <w:rsid w:val="00E51010"/>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0F4"/>
    <w:rsid w:val="00E95C81"/>
    <w:rsid w:val="00E95F24"/>
    <w:rsid w:val="00E96F5F"/>
    <w:rsid w:val="00E97492"/>
    <w:rsid w:val="00E97795"/>
    <w:rsid w:val="00E979D5"/>
    <w:rsid w:val="00E97F21"/>
    <w:rsid w:val="00EA011C"/>
    <w:rsid w:val="00EA199E"/>
    <w:rsid w:val="00EA22D7"/>
    <w:rsid w:val="00EA245F"/>
    <w:rsid w:val="00EA47C5"/>
    <w:rsid w:val="00EA4B58"/>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2571"/>
    <w:rsid w:val="00ED3A04"/>
    <w:rsid w:val="00ED41C5"/>
    <w:rsid w:val="00ED430E"/>
    <w:rsid w:val="00ED5AEA"/>
    <w:rsid w:val="00ED5D2E"/>
    <w:rsid w:val="00ED6E6A"/>
    <w:rsid w:val="00ED774F"/>
    <w:rsid w:val="00EE007A"/>
    <w:rsid w:val="00EE0AA7"/>
    <w:rsid w:val="00EE1CCC"/>
    <w:rsid w:val="00EE22D4"/>
    <w:rsid w:val="00EE28BB"/>
    <w:rsid w:val="00EE36DF"/>
    <w:rsid w:val="00EE37F1"/>
    <w:rsid w:val="00EE3A66"/>
    <w:rsid w:val="00EE3B18"/>
    <w:rsid w:val="00EE44EE"/>
    <w:rsid w:val="00EE47B8"/>
    <w:rsid w:val="00EE4CDF"/>
    <w:rsid w:val="00EE4FEA"/>
    <w:rsid w:val="00EE5DB4"/>
    <w:rsid w:val="00EE7112"/>
    <w:rsid w:val="00EE7CD1"/>
    <w:rsid w:val="00EF10D6"/>
    <w:rsid w:val="00EF1CBA"/>
    <w:rsid w:val="00EF26F0"/>
    <w:rsid w:val="00EF2866"/>
    <w:rsid w:val="00EF327A"/>
    <w:rsid w:val="00EF3550"/>
    <w:rsid w:val="00EF37AE"/>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3967"/>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2BC0"/>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006"/>
    <w:rsid w:val="00F5270A"/>
    <w:rsid w:val="00F52A24"/>
    <w:rsid w:val="00F52DB8"/>
    <w:rsid w:val="00F5453D"/>
    <w:rsid w:val="00F547E8"/>
    <w:rsid w:val="00F55B7F"/>
    <w:rsid w:val="00F56CDD"/>
    <w:rsid w:val="00F600AE"/>
    <w:rsid w:val="00F6017C"/>
    <w:rsid w:val="00F60DD4"/>
    <w:rsid w:val="00F60E55"/>
    <w:rsid w:val="00F60F22"/>
    <w:rsid w:val="00F618CC"/>
    <w:rsid w:val="00F61B4E"/>
    <w:rsid w:val="00F61C58"/>
    <w:rsid w:val="00F62F2C"/>
    <w:rsid w:val="00F63529"/>
    <w:rsid w:val="00F63B33"/>
    <w:rsid w:val="00F63DD9"/>
    <w:rsid w:val="00F65B45"/>
    <w:rsid w:val="00F7048F"/>
    <w:rsid w:val="00F70C15"/>
    <w:rsid w:val="00F70D0E"/>
    <w:rsid w:val="00F71527"/>
    <w:rsid w:val="00F725EF"/>
    <w:rsid w:val="00F73787"/>
    <w:rsid w:val="00F739A9"/>
    <w:rsid w:val="00F73ACC"/>
    <w:rsid w:val="00F7554D"/>
    <w:rsid w:val="00F7578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792"/>
    <w:rsid w:val="00F90F53"/>
    <w:rsid w:val="00F91278"/>
    <w:rsid w:val="00F926F1"/>
    <w:rsid w:val="00F92993"/>
    <w:rsid w:val="00F92EA8"/>
    <w:rsid w:val="00F93369"/>
    <w:rsid w:val="00F93B6C"/>
    <w:rsid w:val="00F94D0C"/>
    <w:rsid w:val="00F95325"/>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0DC9"/>
    <w:rsid w:val="00FC1508"/>
    <w:rsid w:val="00FC1A14"/>
    <w:rsid w:val="00FC2C17"/>
    <w:rsid w:val="00FC33B5"/>
    <w:rsid w:val="00FC42B9"/>
    <w:rsid w:val="00FC6002"/>
    <w:rsid w:val="00FC72E9"/>
    <w:rsid w:val="00FD17DB"/>
    <w:rsid w:val="00FD2D1F"/>
    <w:rsid w:val="00FD38CD"/>
    <w:rsid w:val="00FD3A31"/>
    <w:rsid w:val="00FD3F6A"/>
    <w:rsid w:val="00FD3FEC"/>
    <w:rsid w:val="00FD4746"/>
    <w:rsid w:val="00FD5A7A"/>
    <w:rsid w:val="00FD5C28"/>
    <w:rsid w:val="00FD60AE"/>
    <w:rsid w:val="00FD6436"/>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 w:val="0103DC7A"/>
    <w:rsid w:val="010D14B8"/>
    <w:rsid w:val="012C7EFF"/>
    <w:rsid w:val="01976D3E"/>
    <w:rsid w:val="01E3114C"/>
    <w:rsid w:val="01EDE12E"/>
    <w:rsid w:val="01FA5154"/>
    <w:rsid w:val="0246CF74"/>
    <w:rsid w:val="02E523C0"/>
    <w:rsid w:val="031E2A6D"/>
    <w:rsid w:val="03977B14"/>
    <w:rsid w:val="03A3FF14"/>
    <w:rsid w:val="03EA96B1"/>
    <w:rsid w:val="03F62358"/>
    <w:rsid w:val="0406A4A4"/>
    <w:rsid w:val="046C4281"/>
    <w:rsid w:val="04723153"/>
    <w:rsid w:val="04726D56"/>
    <w:rsid w:val="04B5FFBA"/>
    <w:rsid w:val="04BEB495"/>
    <w:rsid w:val="053898C3"/>
    <w:rsid w:val="058B91C3"/>
    <w:rsid w:val="0685BF12"/>
    <w:rsid w:val="06FC9357"/>
    <w:rsid w:val="077B4600"/>
    <w:rsid w:val="079DF45A"/>
    <w:rsid w:val="08AA9639"/>
    <w:rsid w:val="08D9A630"/>
    <w:rsid w:val="08F773D4"/>
    <w:rsid w:val="090B34AB"/>
    <w:rsid w:val="0915B9EC"/>
    <w:rsid w:val="099568BF"/>
    <w:rsid w:val="099D85E0"/>
    <w:rsid w:val="09AECD18"/>
    <w:rsid w:val="09CE05D5"/>
    <w:rsid w:val="0A784A6B"/>
    <w:rsid w:val="0AA01F38"/>
    <w:rsid w:val="0AF71021"/>
    <w:rsid w:val="0B072B5F"/>
    <w:rsid w:val="0B3B28B6"/>
    <w:rsid w:val="0B3CA9AE"/>
    <w:rsid w:val="0B869155"/>
    <w:rsid w:val="0BFABC68"/>
    <w:rsid w:val="0C02E514"/>
    <w:rsid w:val="0C2FAD24"/>
    <w:rsid w:val="0C5B3302"/>
    <w:rsid w:val="0CF5A6D3"/>
    <w:rsid w:val="0D0D3605"/>
    <w:rsid w:val="0D803B0E"/>
    <w:rsid w:val="0E12E88B"/>
    <w:rsid w:val="0E653A52"/>
    <w:rsid w:val="0E7FE068"/>
    <w:rsid w:val="0E855D05"/>
    <w:rsid w:val="0ED73C18"/>
    <w:rsid w:val="0F159CA8"/>
    <w:rsid w:val="0F16D019"/>
    <w:rsid w:val="0F41DDEA"/>
    <w:rsid w:val="0F8CC7D7"/>
    <w:rsid w:val="0FA095C7"/>
    <w:rsid w:val="0FBB926B"/>
    <w:rsid w:val="1004991E"/>
    <w:rsid w:val="11344C07"/>
    <w:rsid w:val="115E02FC"/>
    <w:rsid w:val="11BAD9B9"/>
    <w:rsid w:val="11E6C4C5"/>
    <w:rsid w:val="11EBE042"/>
    <w:rsid w:val="1215B4E5"/>
    <w:rsid w:val="12658684"/>
    <w:rsid w:val="12CAE970"/>
    <w:rsid w:val="12CC4024"/>
    <w:rsid w:val="1326780B"/>
    <w:rsid w:val="132989B1"/>
    <w:rsid w:val="137AD50D"/>
    <w:rsid w:val="138E7E40"/>
    <w:rsid w:val="13A1C505"/>
    <w:rsid w:val="13F81A33"/>
    <w:rsid w:val="1431014A"/>
    <w:rsid w:val="1441A8C6"/>
    <w:rsid w:val="14AE4924"/>
    <w:rsid w:val="14C8044F"/>
    <w:rsid w:val="15635163"/>
    <w:rsid w:val="15B68AD1"/>
    <w:rsid w:val="15BE268A"/>
    <w:rsid w:val="164DAF79"/>
    <w:rsid w:val="167D521D"/>
    <w:rsid w:val="16D87802"/>
    <w:rsid w:val="178D3508"/>
    <w:rsid w:val="17A53EC8"/>
    <w:rsid w:val="17BAE596"/>
    <w:rsid w:val="17EFCBB9"/>
    <w:rsid w:val="17FD5A45"/>
    <w:rsid w:val="18548F4B"/>
    <w:rsid w:val="186B3765"/>
    <w:rsid w:val="1882F8AB"/>
    <w:rsid w:val="18846BE5"/>
    <w:rsid w:val="189EB430"/>
    <w:rsid w:val="19A4B070"/>
    <w:rsid w:val="19B4671C"/>
    <w:rsid w:val="1A011227"/>
    <w:rsid w:val="1A02DCD8"/>
    <w:rsid w:val="1A82C57C"/>
    <w:rsid w:val="1A9AD3EB"/>
    <w:rsid w:val="1A9FB2A5"/>
    <w:rsid w:val="1AC4AC73"/>
    <w:rsid w:val="1AF4A7B1"/>
    <w:rsid w:val="1B3FB95F"/>
    <w:rsid w:val="1CA2E8BD"/>
    <w:rsid w:val="1CA5DA14"/>
    <w:rsid w:val="1CBAD331"/>
    <w:rsid w:val="1CBC45C2"/>
    <w:rsid w:val="1D23805F"/>
    <w:rsid w:val="1D30ED7F"/>
    <w:rsid w:val="1DC6F63A"/>
    <w:rsid w:val="1DCB6BCC"/>
    <w:rsid w:val="1DEFB071"/>
    <w:rsid w:val="1DFBFF84"/>
    <w:rsid w:val="1E645CE5"/>
    <w:rsid w:val="1E974DB1"/>
    <w:rsid w:val="1FC580C6"/>
    <w:rsid w:val="2005DF54"/>
    <w:rsid w:val="202CC492"/>
    <w:rsid w:val="207A4206"/>
    <w:rsid w:val="20A28B4A"/>
    <w:rsid w:val="2150E5F4"/>
    <w:rsid w:val="215B21A8"/>
    <w:rsid w:val="217A02B3"/>
    <w:rsid w:val="220D95E1"/>
    <w:rsid w:val="229CA992"/>
    <w:rsid w:val="229D65BE"/>
    <w:rsid w:val="22ADAEA6"/>
    <w:rsid w:val="22AECB54"/>
    <w:rsid w:val="22C4E5E8"/>
    <w:rsid w:val="22CD2674"/>
    <w:rsid w:val="22CD40BC"/>
    <w:rsid w:val="233D334D"/>
    <w:rsid w:val="236227F4"/>
    <w:rsid w:val="2398057A"/>
    <w:rsid w:val="23A2104A"/>
    <w:rsid w:val="23CD7874"/>
    <w:rsid w:val="245DE46B"/>
    <w:rsid w:val="247C1095"/>
    <w:rsid w:val="24900D23"/>
    <w:rsid w:val="24D5C0C4"/>
    <w:rsid w:val="257B1695"/>
    <w:rsid w:val="2596E4FF"/>
    <w:rsid w:val="25AD0076"/>
    <w:rsid w:val="25B0CF0F"/>
    <w:rsid w:val="263F9149"/>
    <w:rsid w:val="2642809E"/>
    <w:rsid w:val="26737F57"/>
    <w:rsid w:val="268988F5"/>
    <w:rsid w:val="26C80D47"/>
    <w:rsid w:val="281FC84D"/>
    <w:rsid w:val="284D65C4"/>
    <w:rsid w:val="28CFA71A"/>
    <w:rsid w:val="28E4A138"/>
    <w:rsid w:val="2967021A"/>
    <w:rsid w:val="2AAE4185"/>
    <w:rsid w:val="2AF7074E"/>
    <w:rsid w:val="2B1D0A8A"/>
    <w:rsid w:val="2B49EECF"/>
    <w:rsid w:val="2B9B7E6A"/>
    <w:rsid w:val="2BA2A6FA"/>
    <w:rsid w:val="2BC7D184"/>
    <w:rsid w:val="2BE9F1A3"/>
    <w:rsid w:val="2C22026F"/>
    <w:rsid w:val="2C2FDFD8"/>
    <w:rsid w:val="2C717148"/>
    <w:rsid w:val="2C7C8BE5"/>
    <w:rsid w:val="2CC93AFC"/>
    <w:rsid w:val="2D4BD511"/>
    <w:rsid w:val="2D88E535"/>
    <w:rsid w:val="2D9EE9FE"/>
    <w:rsid w:val="2DDCD2E6"/>
    <w:rsid w:val="2DE100BC"/>
    <w:rsid w:val="2E46F714"/>
    <w:rsid w:val="2F56C6B2"/>
    <w:rsid w:val="2F7CF71F"/>
    <w:rsid w:val="2F951E45"/>
    <w:rsid w:val="2F96A032"/>
    <w:rsid w:val="2FF17B5A"/>
    <w:rsid w:val="3019A736"/>
    <w:rsid w:val="308D2A7E"/>
    <w:rsid w:val="311637F4"/>
    <w:rsid w:val="31419C9D"/>
    <w:rsid w:val="319A32ED"/>
    <w:rsid w:val="31D429DA"/>
    <w:rsid w:val="321FBDAF"/>
    <w:rsid w:val="322F4065"/>
    <w:rsid w:val="3251109A"/>
    <w:rsid w:val="327132AC"/>
    <w:rsid w:val="329905BF"/>
    <w:rsid w:val="33165EE5"/>
    <w:rsid w:val="3397FA64"/>
    <w:rsid w:val="33BC73DD"/>
    <w:rsid w:val="3483F181"/>
    <w:rsid w:val="34AD20DC"/>
    <w:rsid w:val="34F368AB"/>
    <w:rsid w:val="3554E1DB"/>
    <w:rsid w:val="3570166D"/>
    <w:rsid w:val="358DD0A5"/>
    <w:rsid w:val="36063587"/>
    <w:rsid w:val="36E7838E"/>
    <w:rsid w:val="37D79EAE"/>
    <w:rsid w:val="380ED706"/>
    <w:rsid w:val="3892D0F1"/>
    <w:rsid w:val="38A3BD74"/>
    <w:rsid w:val="38F52BF3"/>
    <w:rsid w:val="38FB09C8"/>
    <w:rsid w:val="39105F2D"/>
    <w:rsid w:val="39DBECF2"/>
    <w:rsid w:val="39E0219A"/>
    <w:rsid w:val="3A6D37E7"/>
    <w:rsid w:val="3AACA46A"/>
    <w:rsid w:val="3B480A37"/>
    <w:rsid w:val="3B495441"/>
    <w:rsid w:val="3BB433D5"/>
    <w:rsid w:val="3BE1A7B0"/>
    <w:rsid w:val="3C244EE0"/>
    <w:rsid w:val="3C42675B"/>
    <w:rsid w:val="3C4874CB"/>
    <w:rsid w:val="3C5F2443"/>
    <w:rsid w:val="3C93C8DF"/>
    <w:rsid w:val="3C97BA56"/>
    <w:rsid w:val="3D4BE701"/>
    <w:rsid w:val="3D61C6B2"/>
    <w:rsid w:val="3D708A56"/>
    <w:rsid w:val="3D87D998"/>
    <w:rsid w:val="3DD96C97"/>
    <w:rsid w:val="3DFB0AAD"/>
    <w:rsid w:val="3E0DB5DE"/>
    <w:rsid w:val="3E1BCD9E"/>
    <w:rsid w:val="3E786A48"/>
    <w:rsid w:val="3F3728E0"/>
    <w:rsid w:val="3F444FD1"/>
    <w:rsid w:val="3F88BB2D"/>
    <w:rsid w:val="3FC22DE0"/>
    <w:rsid w:val="3FCD19CA"/>
    <w:rsid w:val="3FE2DB92"/>
    <w:rsid w:val="3FF2BFFB"/>
    <w:rsid w:val="3FF729A9"/>
    <w:rsid w:val="402E9931"/>
    <w:rsid w:val="40375BB5"/>
    <w:rsid w:val="4084CC8F"/>
    <w:rsid w:val="4097E9EF"/>
    <w:rsid w:val="40CC63EB"/>
    <w:rsid w:val="40CD459A"/>
    <w:rsid w:val="40D8A5AC"/>
    <w:rsid w:val="41261511"/>
    <w:rsid w:val="4127CF6D"/>
    <w:rsid w:val="41A5A1CB"/>
    <w:rsid w:val="426642C7"/>
    <w:rsid w:val="4279E04B"/>
    <w:rsid w:val="42A848DC"/>
    <w:rsid w:val="42E27A06"/>
    <w:rsid w:val="4312C764"/>
    <w:rsid w:val="431E20C4"/>
    <w:rsid w:val="435CA2E5"/>
    <w:rsid w:val="4375F996"/>
    <w:rsid w:val="43868808"/>
    <w:rsid w:val="44376931"/>
    <w:rsid w:val="44804187"/>
    <w:rsid w:val="44B2B330"/>
    <w:rsid w:val="44D187B9"/>
    <w:rsid w:val="45C05C0F"/>
    <w:rsid w:val="46A42529"/>
    <w:rsid w:val="46B94906"/>
    <w:rsid w:val="46DF48ED"/>
    <w:rsid w:val="471927CA"/>
    <w:rsid w:val="472CD98B"/>
    <w:rsid w:val="47D50F19"/>
    <w:rsid w:val="47F71385"/>
    <w:rsid w:val="47FD549D"/>
    <w:rsid w:val="4809287B"/>
    <w:rsid w:val="4852F3D0"/>
    <w:rsid w:val="48645AE2"/>
    <w:rsid w:val="4872AAEF"/>
    <w:rsid w:val="489DAF52"/>
    <w:rsid w:val="49AEA89D"/>
    <w:rsid w:val="49E5A219"/>
    <w:rsid w:val="4A45DFD2"/>
    <w:rsid w:val="4A8579EC"/>
    <w:rsid w:val="4AD8ADDD"/>
    <w:rsid w:val="4B43586D"/>
    <w:rsid w:val="4B9361B6"/>
    <w:rsid w:val="4BB67FA6"/>
    <w:rsid w:val="4BD19AED"/>
    <w:rsid w:val="4C6ADAB0"/>
    <w:rsid w:val="4C6B35CC"/>
    <w:rsid w:val="4C6F85F0"/>
    <w:rsid w:val="4CA54DCB"/>
    <w:rsid w:val="4D11DE03"/>
    <w:rsid w:val="4D230BDF"/>
    <w:rsid w:val="4D3B1B8A"/>
    <w:rsid w:val="4D4FAD3F"/>
    <w:rsid w:val="4D8EC489"/>
    <w:rsid w:val="4DC86C75"/>
    <w:rsid w:val="4E56F8C4"/>
    <w:rsid w:val="4E901EF2"/>
    <w:rsid w:val="4EB1DC7D"/>
    <w:rsid w:val="4EF1E994"/>
    <w:rsid w:val="4FC05520"/>
    <w:rsid w:val="4FCBBFA0"/>
    <w:rsid w:val="50AD0970"/>
    <w:rsid w:val="50C89A54"/>
    <w:rsid w:val="50ECECE3"/>
    <w:rsid w:val="51F3F1F3"/>
    <w:rsid w:val="51F41E70"/>
    <w:rsid w:val="529B60CC"/>
    <w:rsid w:val="529E95BC"/>
    <w:rsid w:val="52B43D43"/>
    <w:rsid w:val="53D735A7"/>
    <w:rsid w:val="53F538B8"/>
    <w:rsid w:val="5435DFD2"/>
    <w:rsid w:val="54BA2FC2"/>
    <w:rsid w:val="54D113C7"/>
    <w:rsid w:val="555AE697"/>
    <w:rsid w:val="5570982A"/>
    <w:rsid w:val="558CB249"/>
    <w:rsid w:val="55C3CD16"/>
    <w:rsid w:val="55C85A0F"/>
    <w:rsid w:val="55E0F4E7"/>
    <w:rsid w:val="564D822D"/>
    <w:rsid w:val="5690733F"/>
    <w:rsid w:val="57038F1C"/>
    <w:rsid w:val="577B2987"/>
    <w:rsid w:val="577CC548"/>
    <w:rsid w:val="57BF2DC5"/>
    <w:rsid w:val="582F70B5"/>
    <w:rsid w:val="589741E5"/>
    <w:rsid w:val="58E1ACE5"/>
    <w:rsid w:val="59A1B6F5"/>
    <w:rsid w:val="59A4BA7D"/>
    <w:rsid w:val="59EB3F66"/>
    <w:rsid w:val="5A283438"/>
    <w:rsid w:val="5A3DCC0B"/>
    <w:rsid w:val="5AACBF85"/>
    <w:rsid w:val="5AC07D5D"/>
    <w:rsid w:val="5AECAD1F"/>
    <w:rsid w:val="5BDE98F5"/>
    <w:rsid w:val="5C297BB4"/>
    <w:rsid w:val="5C452AD0"/>
    <w:rsid w:val="5C6FFA56"/>
    <w:rsid w:val="5C729016"/>
    <w:rsid w:val="5C9418B2"/>
    <w:rsid w:val="5D517842"/>
    <w:rsid w:val="5DEC06CC"/>
    <w:rsid w:val="5E25F6AD"/>
    <w:rsid w:val="5E7956FF"/>
    <w:rsid w:val="5EDDAC5F"/>
    <w:rsid w:val="5F2D6051"/>
    <w:rsid w:val="5FD8C748"/>
    <w:rsid w:val="6080A21A"/>
    <w:rsid w:val="60A2E19F"/>
    <w:rsid w:val="60D332A6"/>
    <w:rsid w:val="60D6A6F5"/>
    <w:rsid w:val="60DEE155"/>
    <w:rsid w:val="60E91390"/>
    <w:rsid w:val="60EA7D8E"/>
    <w:rsid w:val="6113ED10"/>
    <w:rsid w:val="6120A814"/>
    <w:rsid w:val="615CDE45"/>
    <w:rsid w:val="61D878B6"/>
    <w:rsid w:val="61E562C3"/>
    <w:rsid w:val="620C2718"/>
    <w:rsid w:val="625BFF66"/>
    <w:rsid w:val="62D09196"/>
    <w:rsid w:val="62D747AF"/>
    <w:rsid w:val="634F7FBE"/>
    <w:rsid w:val="6359173C"/>
    <w:rsid w:val="642F9EF0"/>
    <w:rsid w:val="648E3581"/>
    <w:rsid w:val="64A1569C"/>
    <w:rsid w:val="64B7FB91"/>
    <w:rsid w:val="64CC1E63"/>
    <w:rsid w:val="65248A52"/>
    <w:rsid w:val="65B87F6F"/>
    <w:rsid w:val="66350370"/>
    <w:rsid w:val="664D78E8"/>
    <w:rsid w:val="665D0805"/>
    <w:rsid w:val="6670C406"/>
    <w:rsid w:val="66B64B37"/>
    <w:rsid w:val="66B84E7C"/>
    <w:rsid w:val="66EADBA4"/>
    <w:rsid w:val="66FA5948"/>
    <w:rsid w:val="674BB268"/>
    <w:rsid w:val="67C02098"/>
    <w:rsid w:val="67CBE962"/>
    <w:rsid w:val="67D7F0A7"/>
    <w:rsid w:val="69326B92"/>
    <w:rsid w:val="6944D9F1"/>
    <w:rsid w:val="69B64756"/>
    <w:rsid w:val="69E46E4C"/>
    <w:rsid w:val="69F72DB9"/>
    <w:rsid w:val="6A094C6F"/>
    <w:rsid w:val="6A26A0F1"/>
    <w:rsid w:val="6B11C7CA"/>
    <w:rsid w:val="6B23AC92"/>
    <w:rsid w:val="6B3CC035"/>
    <w:rsid w:val="6C2206A5"/>
    <w:rsid w:val="6CB34E15"/>
    <w:rsid w:val="6D0F4D16"/>
    <w:rsid w:val="6D1FA27A"/>
    <w:rsid w:val="6D9339D7"/>
    <w:rsid w:val="6D9DFF6F"/>
    <w:rsid w:val="6DCCCFCC"/>
    <w:rsid w:val="6E370D32"/>
    <w:rsid w:val="6E66C8A9"/>
    <w:rsid w:val="6E75B29E"/>
    <w:rsid w:val="6EBB3004"/>
    <w:rsid w:val="6ED850AC"/>
    <w:rsid w:val="7071DD8E"/>
    <w:rsid w:val="7081833C"/>
    <w:rsid w:val="70CA737F"/>
    <w:rsid w:val="70CCFBB7"/>
    <w:rsid w:val="720CAACE"/>
    <w:rsid w:val="727E04CD"/>
    <w:rsid w:val="728BD8DC"/>
    <w:rsid w:val="72D483D6"/>
    <w:rsid w:val="72EBB50A"/>
    <w:rsid w:val="73138678"/>
    <w:rsid w:val="735CB474"/>
    <w:rsid w:val="73B0364F"/>
    <w:rsid w:val="741D378E"/>
    <w:rsid w:val="745AAAD2"/>
    <w:rsid w:val="74C3DD1F"/>
    <w:rsid w:val="74E8CBF0"/>
    <w:rsid w:val="7568FD78"/>
    <w:rsid w:val="76546F0B"/>
    <w:rsid w:val="766F6C47"/>
    <w:rsid w:val="76D09BA2"/>
    <w:rsid w:val="76F2AEB7"/>
    <w:rsid w:val="7703951E"/>
    <w:rsid w:val="770744D3"/>
    <w:rsid w:val="772C2CB0"/>
    <w:rsid w:val="775F25C3"/>
    <w:rsid w:val="7788679F"/>
    <w:rsid w:val="78A3546E"/>
    <w:rsid w:val="793D59B6"/>
    <w:rsid w:val="794562A7"/>
    <w:rsid w:val="795B7E1E"/>
    <w:rsid w:val="7986AFE4"/>
    <w:rsid w:val="7BA2D92D"/>
    <w:rsid w:val="7BB56AF4"/>
    <w:rsid w:val="7BFCC064"/>
    <w:rsid w:val="7CAEFBB2"/>
    <w:rsid w:val="7CDA2487"/>
    <w:rsid w:val="7D0839A1"/>
    <w:rsid w:val="7D0C15CB"/>
    <w:rsid w:val="7D6168EE"/>
    <w:rsid w:val="7DF8C1BA"/>
    <w:rsid w:val="7E5D8F6E"/>
    <w:rsid w:val="7E65C72C"/>
    <w:rsid w:val="7E93E66F"/>
    <w:rsid w:val="7EEB2D5D"/>
    <w:rsid w:val="7F172BF5"/>
    <w:rsid w:val="7F27446F"/>
    <w:rsid w:val="7F7F685D"/>
    <w:rsid w:val="7FADF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57370"/>
  <w15:docId w15:val="{9CD343C5-9EC5-4B9B-BC1B-C343D632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Revision">
    <w:name w:val="Revision"/>
    <w:hidden/>
    <w:uiPriority w:val="99"/>
    <w:semiHidden/>
    <w:rsid w:val="001A2BE6"/>
  </w:style>
  <w:style w:type="character" w:styleId="UnresolvedMention">
    <w:name w:val="Unresolved Mention"/>
    <w:basedOn w:val="DefaultParagraphFont"/>
    <w:uiPriority w:val="99"/>
    <w:semiHidden/>
    <w:unhideWhenUsed/>
    <w:rsid w:val="00557A63"/>
    <w:rPr>
      <w:color w:val="605E5C"/>
      <w:shd w:val="clear" w:color="auto" w:fill="E1DFDD"/>
    </w:rPr>
  </w:style>
  <w:style w:type="character" w:styleId="Mention">
    <w:name w:val="Mention"/>
    <w:basedOn w:val="DefaultParagraphFont"/>
    <w:uiPriority w:val="99"/>
    <w:unhideWhenUsed/>
    <w:rsid w:val="00FD5A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WacoHousingSearch.org%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02FD977-E322-4E78-9143-EFB1964C710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8199</Words>
  <Characters>46740</Characters>
  <Application>Microsoft Office Word</Application>
  <DocSecurity>8</DocSecurity>
  <Lines>389</Lines>
  <Paragraphs>109</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Jacob LaRow</cp:lastModifiedBy>
  <cp:revision>2</cp:revision>
  <dcterms:created xsi:type="dcterms:W3CDTF">2023-12-07T13:52:00Z</dcterms:created>
  <dcterms:modified xsi:type="dcterms:W3CDTF">2023-12-07T13:52:00Z</dcterms:modified>
</cp:coreProperties>
</file>